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F73FB1" w14:textId="77777777" w:rsidR="00FA1E0E" w:rsidRDefault="00FA1E0E" w:rsidP="00FA1E0E">
      <w:pPr>
        <w:jc w:val="center"/>
        <w:rPr>
          <w:sz w:val="24"/>
          <w:szCs w:val="22"/>
          <w:rFonts w:ascii="Times New Roman" w:hAnsi="Times New Roman"/>
        </w:rPr>
      </w:pPr>
      <w:r>
        <w:rPr>
          <w:sz w:val="24"/>
          <w:rFonts w:ascii="Times New Roman" w:hAnsi="Times New Roman"/>
        </w:rPr>
        <w:t xml:space="preserve">DA</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sz w:val="24"/>
          <w:rFonts w:ascii="Times New Roman" w:hAnsi="Times New Roman"/>
        </w:rPr>
      </w:pPr>
      <w:r>
        <w:rPr>
          <w:sz w:val="24"/>
          <w:rFonts w:ascii="Times New Roman" w:hAnsi="Times New Roman"/>
        </w:rPr>
        <w:t xml:space="preserve">BILAG II</w:t>
      </w:r>
    </w:p>
    <w:p w14:paraId="7B92C63B" w14:textId="77777777" w:rsidR="00C61CB8" w:rsidRPr="00037E7B" w:rsidRDefault="00C61CB8" w:rsidP="00C61CB8">
      <w:pPr>
        <w:jc w:val="center"/>
        <w:rPr>
          <w:sz w:val="24"/>
          <w:rFonts w:ascii="Times New Roman" w:hAnsi="Times New Roman"/>
        </w:rPr>
      </w:pPr>
      <w:r>
        <w:rPr>
          <w:sz w:val="24"/>
          <w:rFonts w:ascii="Times New Roman" w:hAnsi="Times New Roman"/>
        </w:rPr>
        <w:t xml:space="preserve">"BILAG II</w:t>
      </w:r>
    </w:p>
    <w:p w14:paraId="48CBB2FB" w14:textId="77777777" w:rsidR="00C61CB8" w:rsidRPr="00037E7B" w:rsidRDefault="00C61CB8" w:rsidP="00C61CB8">
      <w:pPr>
        <w:jc w:val="center"/>
        <w:rPr>
          <w:b/>
          <w:sz w:val="24"/>
          <w:rFonts w:ascii="Times New Roman" w:hAnsi="Times New Roman"/>
        </w:rPr>
      </w:pPr>
      <w:r>
        <w:rPr>
          <w:b/>
          <w:sz w:val="24"/>
          <w:rFonts w:ascii="Times New Roman" w:hAnsi="Times New Roman"/>
        </w:rPr>
        <w:t xml:space="preserve">INSTRUKSER TIL INDBERETNING AF KAPITALGRUNDLAG OG KAPITALGRUNDLAGSKRAV</w:t>
      </w:r>
    </w:p>
    <w:p w14:paraId="499E103D" w14:textId="77777777" w:rsidR="00C61CB8" w:rsidRDefault="00C61CB8" w:rsidP="00C61CB8"/>
    <w:p w14:paraId="4FE1D1D2" w14:textId="77777777" w:rsidR="00C61CB8" w:rsidRDefault="00C61CB8" w:rsidP="00C61CB8">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INSTRUKSER VEDRØRENDE SKEMAER</w:t>
      </w:r>
    </w:p>
    <w:p w14:paraId="253B4114" w14:textId="77777777" w:rsidR="00C61CB8" w:rsidRDefault="00C61CB8" w:rsidP="00C61CB8">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6D3C634C" w14:textId="77777777" w:rsidR="00C61CB8" w:rsidRPr="00736637" w:rsidRDefault="00C61CB8" w:rsidP="00C61CB8">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KONCERNSOLVENS:</w:t>
      </w:r>
      <w:r>
        <w:rPr>
          <w:sz w:val="24"/>
          <w:rFonts w:ascii="Times New Roman" w:hAnsi="Times New Roman"/>
        </w:rPr>
        <w:t xml:space="preserve"> </w:t>
      </w:r>
      <w:r>
        <w:rPr>
          <w:sz w:val="24"/>
          <w:rFonts w:ascii="Times New Roman" w:hAnsi="Times New Roman"/>
        </w:rPr>
        <w:t xml:space="preserve">OPLYSNINGER OM TILKNYTTEDE SELSKABER (GS)</w:t>
      </w:r>
    </w:p>
    <w:p w14:paraId="6AEF8BDA" w14:textId="77777777" w:rsidR="00173F08" w:rsidRPr="002A677E" w:rsidRDefault="00173F08" w:rsidP="00173F08">
      <w:pPr>
        <w:pStyle w:val="Instructionsberschrift2"/>
        <w:numPr>
          <w:ilvl w:val="0"/>
          <w:numId w:val="0"/>
        </w:numPr>
        <w:ind w:left="357" w:hanging="357"/>
        <w:rPr>
          <w:sz w:val="24"/>
          <w:rFonts w:ascii="Times New Roman" w:hAnsi="Times New Roman" w:cs="Times New Roman"/>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Pr>
          <w:sz w:val="24"/>
          <w:u w:val="none"/>
          <w:rFonts w:ascii="Times New Roman" w:hAnsi="Times New Roman"/>
        </w:rPr>
        <w:t xml:space="preserve">2.1.</w:t>
      </w:r>
      <w:r>
        <w:tab/>
      </w:r>
      <w:r>
        <w:rPr>
          <w:sz w:val="24"/>
          <w:rFonts w:ascii="Times New Roman" w:hAnsi="Times New Roman"/>
        </w:rPr>
        <w:t xml:space="preserve">Generelle bemærkninger</w:t>
      </w:r>
      <w:bookmarkEnd w:id="0"/>
      <w:bookmarkEnd w:id="1"/>
      <w:bookmarkEnd w:id="2"/>
      <w:bookmarkEnd w:id="3"/>
      <w:bookmarkEnd w:id="4"/>
      <w:bookmarkEnd w:id="5"/>
      <w:bookmarkEnd w:id="6"/>
    </w:p>
    <w:p w14:paraId="02D50DC7"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 xml:space="preserve">27</w:t>
      </w:r>
      <w:r>
        <w:fldChar w:fldCharType="end"/>
      </w:r>
      <w:r>
        <w:t xml:space="preserve">.</w:t>
      </w:r>
      <w:r>
        <w:tab/>
      </w:r>
      <w:r>
        <w:t xml:space="preserve">Skema C 06.01 og C 06.02 anvendes, hvis kapitalgrundlagskravene beregnes på konsolideret grundlag.</w:t>
      </w:r>
      <w:r>
        <w:t xml:space="preserve"> </w:t>
      </w:r>
      <w:r>
        <w:t xml:space="preserve">Skema C 06.02 består af fire dele, hvor der indsamles oplysninger om alle individuelle enheder (herunder det indberettende institut), der er omfattet af konsolideringen:</w:t>
      </w:r>
    </w:p>
    <w:p w14:paraId="427E4E34" w14:textId="77777777" w:rsidR="00173F08" w:rsidRPr="002A677E" w:rsidRDefault="00173F08" w:rsidP="00173F08">
      <w:pPr>
        <w:pStyle w:val="InstructionsText2"/>
        <w:numPr>
          <w:ilvl w:val="0"/>
          <w:numId w:val="0"/>
        </w:numPr>
        <w:ind w:left="993"/>
      </w:pPr>
      <w:r>
        <w:t xml:space="preserve">a)</w:t>
      </w:r>
      <w:r>
        <w:tab/>
      </w:r>
      <w:r>
        <w:t xml:space="preserve">enheder omfattet af konsolidering</w:t>
      </w:r>
    </w:p>
    <w:p w14:paraId="028B029B" w14:textId="77777777" w:rsidR="00173F08" w:rsidRPr="002A677E" w:rsidRDefault="00173F08" w:rsidP="00173F08">
      <w:pPr>
        <w:pStyle w:val="InstructionsText2"/>
        <w:numPr>
          <w:ilvl w:val="0"/>
          <w:numId w:val="0"/>
        </w:numPr>
        <w:ind w:left="993"/>
      </w:pPr>
      <w:r>
        <w:t xml:space="preserve">b)</w:t>
      </w:r>
      <w:r>
        <w:tab/>
      </w:r>
      <w:r>
        <w:t xml:space="preserve">detaljerede oplysninger om koncernsolvens</w:t>
      </w:r>
    </w:p>
    <w:p w14:paraId="29EF9308" w14:textId="77777777" w:rsidR="00173F08" w:rsidRPr="002A677E" w:rsidRDefault="00173F08" w:rsidP="00173F08">
      <w:pPr>
        <w:pStyle w:val="InstructionsText2"/>
        <w:numPr>
          <w:ilvl w:val="0"/>
          <w:numId w:val="0"/>
        </w:numPr>
        <w:ind w:left="993"/>
      </w:pPr>
      <w:r>
        <w:t xml:space="preserve">c)</w:t>
      </w:r>
      <w:r>
        <w:tab/>
      </w:r>
      <w:r>
        <w:t xml:space="preserve">oplysninger om de individuelle enheders bidrag til koncernsolvensen</w:t>
      </w:r>
    </w:p>
    <w:p w14:paraId="66E85F84" w14:textId="77777777" w:rsidR="00173F08" w:rsidRPr="002A677E" w:rsidRDefault="00173F08" w:rsidP="00173F08">
      <w:pPr>
        <w:pStyle w:val="InstructionsText2"/>
        <w:numPr>
          <w:ilvl w:val="0"/>
          <w:numId w:val="0"/>
        </w:numPr>
        <w:ind w:left="993"/>
      </w:pPr>
      <w:r>
        <w:t xml:space="preserve">d)</w:t>
      </w:r>
      <w:r>
        <w:tab/>
      </w:r>
      <w:r>
        <w:t xml:space="preserve">oplysninger om kapitalbuffere.</w:t>
      </w:r>
    </w:p>
    <w:p w14:paraId="7BA531FA" w14:textId="701A6BC9" w:rsidR="00173F08" w:rsidRPr="002A677E" w:rsidRDefault="00173F08" w:rsidP="00173F08">
      <w:pPr>
        <w:pStyle w:val="InstructionsText2"/>
        <w:numPr>
          <w:ilvl w:val="0"/>
          <w:numId w:val="0"/>
        </w:numPr>
      </w:pPr>
      <w:r>
        <w:fldChar w:fldCharType="begin" w:dirty="true"/>
      </w:r>
      <w:r>
        <w:instrText>seq paragraphs</w:instrText>
      </w:r>
      <w:r>
        <w:fldChar w:fldCharType="separate"/>
      </w:r>
      <w:r>
        <w:t xml:space="preserve">28</w:t>
      </w:r>
      <w:r>
        <w:fldChar w:fldCharType="end"/>
      </w:r>
      <w:r>
        <w:t xml:space="preserve">.</w:t>
      </w:r>
      <w:r>
        <w:tab/>
      </w:r>
      <w:r>
        <w:t xml:space="preserve">Institutter, der har opnået en undtagelse i overensstemmelse med artikel 7 i forordning (EU) nr. 575/2013, skal kun indberette kolonne 0010 til 0065 og kolonne 0250 til 0400.</w:t>
      </w:r>
    </w:p>
    <w:p w14:paraId="0B7B3AA9"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 xml:space="preserve">29</w:t>
      </w:r>
      <w:r>
        <w:fldChar w:fldCharType="end"/>
      </w:r>
      <w:r>
        <w:t xml:space="preserve">.</w:t>
      </w:r>
      <w:r>
        <w:tab/>
      </w:r>
      <w:r>
        <w:t xml:space="preserve">De indberettede tal tager højde for alle relevante overgangsbestemmelser i forordning (EU) nr. 575/2013, som finder anvendelse på den respektive indberetningsdato.</w:t>
      </w:r>
    </w:p>
    <w:p w14:paraId="11861C2C" w14:textId="77777777" w:rsidR="00173F08" w:rsidRPr="002A677E" w:rsidRDefault="00173F08" w:rsidP="00173F08">
      <w:pPr>
        <w:pStyle w:val="Instructionsberschrift2"/>
        <w:numPr>
          <w:ilvl w:val="0"/>
          <w:numId w:val="0"/>
        </w:numPr>
        <w:rPr>
          <w:sz w:val="24"/>
          <w:rFonts w:ascii="Times New Roman" w:hAnsi="Times New Roman" w:cs="Times New Roman"/>
        </w:rPr>
      </w:pPr>
      <w:bookmarkStart w:id="7" w:name="_Toc360188341"/>
      <w:bookmarkStart w:id="8" w:name="_Toc473560889"/>
      <w:bookmarkStart w:id="9" w:name="_Toc151714377"/>
      <w:r>
        <w:rPr>
          <w:sz w:val="24"/>
          <w:u w:val="none"/>
          <w:rFonts w:ascii="Times New Roman" w:hAnsi="Times New Roman"/>
        </w:rPr>
        <w:t xml:space="preserve">2.2.</w:t>
      </w:r>
      <w:r>
        <w:tab/>
      </w:r>
      <w:r>
        <w:rPr>
          <w:sz w:val="24"/>
          <w:rFonts w:ascii="Times New Roman" w:hAnsi="Times New Roman"/>
        </w:rPr>
        <w:t xml:space="preserve">Detaljerede oplysninger om koncernsolvens</w:t>
      </w:r>
      <w:bookmarkEnd w:id="7"/>
      <w:bookmarkEnd w:id="8"/>
      <w:bookmarkEnd w:id="9"/>
    </w:p>
    <w:p w14:paraId="60F36EFE" w14:textId="40A5EBCA" w:rsidR="00173F08" w:rsidRPr="002A677E" w:rsidRDefault="00173F08" w:rsidP="00173F08">
      <w:pPr>
        <w:pStyle w:val="InstructionsText2"/>
        <w:numPr>
          <w:ilvl w:val="0"/>
          <w:numId w:val="0"/>
        </w:numPr>
      </w:pPr>
      <w:r>
        <w:fldChar w:fldCharType="begin" w:dirty="true"/>
      </w:r>
      <w:r>
        <w:instrText>seq paragraphs</w:instrText>
      </w:r>
      <w:r>
        <w:fldChar w:fldCharType="separate"/>
      </w:r>
      <w:r>
        <w:t xml:space="preserve">30</w:t>
      </w:r>
      <w:r>
        <w:fldChar w:fldCharType="end"/>
      </w:r>
      <w:r>
        <w:t xml:space="preserve">.</w:t>
      </w:r>
      <w:r>
        <w:tab/>
      </w:r>
      <w:r>
        <w:t xml:space="preserve">Den anden del af skema C 06.02 (detaljerede oplysninger om koncernsolvens) i kolonne 0070 til 0240 bruges til at indsamle oplysninger om kreditinstitutter og andre regulerede finansielle institutter, som faktisk er underlagt særlige solvenskrav på individuelt grundlag.</w:t>
      </w:r>
      <w:r>
        <w:t xml:space="preserve"> </w:t>
      </w:r>
      <w:r>
        <w:t xml:space="preserve">For hver enhed, der er omfattet af indberetningen, anføres kapitalgrundlagskravene for hver risikokategori og kapitalgrundlaget, for så vidt angår solvens.</w:t>
      </w:r>
      <w:r>
        <w:t xml:space="preserve"> </w:t>
      </w:r>
    </w:p>
    <w:p w14:paraId="75F5EA26"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 xml:space="preserve">31</w:t>
      </w:r>
      <w:r>
        <w:fldChar w:fldCharType="end"/>
      </w:r>
      <w:r>
        <w:t xml:space="preserve">.</w:t>
      </w:r>
      <w:r>
        <w:tab/>
      </w:r>
      <w:r>
        <w:t xml:space="preserve">Ved pro rata-konsolidering af kapitalinteresser skal tallene for kapitalgrundlagskrav og kapitalgrundlag afspejle de respektive pro rata-beløb.</w:t>
      </w:r>
    </w:p>
    <w:p w14:paraId="7624B8E0" w14:textId="77777777" w:rsidR="00173F08" w:rsidRPr="002A677E" w:rsidRDefault="00173F08" w:rsidP="00173F08">
      <w:pPr>
        <w:pStyle w:val="Instructionsberschrift2"/>
        <w:numPr>
          <w:ilvl w:val="0"/>
          <w:numId w:val="0"/>
        </w:numPr>
        <w:rPr>
          <w:sz w:val="24"/>
          <w:rFonts w:ascii="Times New Roman" w:hAnsi="Times New Roman" w:cs="Times New Roman"/>
        </w:rPr>
      </w:pPr>
      <w:bookmarkStart w:id="10" w:name="_Toc360188342"/>
      <w:bookmarkStart w:id="11" w:name="_Toc473560890"/>
      <w:bookmarkStart w:id="12" w:name="_Toc151714378"/>
      <w:r>
        <w:rPr>
          <w:sz w:val="24"/>
          <w:u w:val="none"/>
          <w:rFonts w:ascii="Times New Roman" w:hAnsi="Times New Roman"/>
        </w:rPr>
        <w:t xml:space="preserve">2.3.</w:t>
      </w:r>
      <w:r>
        <w:tab/>
      </w:r>
      <w:r>
        <w:rPr>
          <w:sz w:val="24"/>
          <w:rFonts w:ascii="Times New Roman" w:hAnsi="Times New Roman"/>
        </w:rPr>
        <w:t xml:space="preserve">Oplysninger om de individuelle enheders bidrag til koncernsolvensen</w:t>
      </w:r>
      <w:bookmarkEnd w:id="10"/>
      <w:bookmarkEnd w:id="11"/>
      <w:bookmarkEnd w:id="12"/>
    </w:p>
    <w:p w14:paraId="79D559FD"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 xml:space="preserve">32</w:t>
      </w:r>
      <w:r>
        <w:fldChar w:fldCharType="end"/>
      </w:r>
      <w:r>
        <w:t xml:space="preserve">.</w:t>
      </w:r>
      <w:r>
        <w:tab/>
      </w:r>
      <w:r>
        <w:t xml:space="preserve">Formålet med den tredje del af skema C 06.02 og skema C 06.01 (Oplysninger om bidraget fra de individuelle enheder i konsolideringen til koncernsolvensen, jf. forordning (EU) nr. 575/2013), kolonne 0250 til 0400, som også omfatter enheder, der individuelt ikke er underlagt særlige solvenskrav, er at identificere, hvilke enheder i koncernen der genererer risici og rejser kapitalgrundlag fra markedet, ud fra data, der er umiddelbart tilgængelige eller let kan genbehandles, uden at kapitalprocenten skal rekonstrueres på individuelt eller delkonsolideret grundlag.</w:t>
      </w:r>
      <w:r>
        <w:t xml:space="preserve"> </w:t>
      </w:r>
      <w:r>
        <w:t xml:space="preserve">På enhedsniveau bidrager tallene for både risiko og kapitalgrundlag til koncerntallene, men indgår i sig selv ikke i soliditetsgraden og kan således ikke sammenlignes med hinanden.</w:t>
      </w:r>
      <w:r>
        <w:t xml:space="preserve"> </w:t>
      </w:r>
    </w:p>
    <w:p w14:paraId="08EA3F6A"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 xml:space="preserve">33</w:t>
      </w:r>
      <w:r>
        <w:fldChar w:fldCharType="end"/>
      </w:r>
      <w:r>
        <w:t xml:space="preserve">.</w:t>
      </w:r>
      <w:r>
        <w:tab/>
      </w:r>
      <w:r>
        <w:t xml:space="preserve">Den tredje del omfatter også beløbene for minoritetsinteresser, kvalificerende hybrid kernekapital og kvalificerende supplerende kapital, der kan indgå i det konsoliderede kapitalgrundlag.</w:t>
      </w:r>
    </w:p>
    <w:p w14:paraId="1D8F8CC4"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 xml:space="preserve">34</w:t>
      </w:r>
      <w:r>
        <w:fldChar w:fldCharType="end"/>
      </w:r>
      <w:r>
        <w:t xml:space="preserve">.</w:t>
      </w:r>
      <w:r>
        <w:tab/>
      </w:r>
      <w:r>
        <w:t xml:space="preserve">Da der i denne tredje del af skemaet er tale om "bidrag", stemmer de tal, der indberettes her, i relevante tilfælde ikke overens med de tal, der er indberettet i de kolonner, der omhandler detaljerede oplysninger om koncernsolvens.</w:t>
      </w:r>
    </w:p>
    <w:p w14:paraId="27180B14"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 xml:space="preserve">35</w:t>
      </w:r>
      <w:r>
        <w:fldChar w:fldCharType="end"/>
      </w:r>
      <w:r>
        <w:t xml:space="preserve">.</w:t>
      </w:r>
      <w:r>
        <w:tab/>
      </w:r>
      <w:r>
        <w:t xml:space="preserve">I princippet slettes eksponeringer på tværs af institutter inden for den samme koncern på en ensartet måde med hensyn til både risici og kapitalgrundlag, således at de beløb, der indberettes i koncernens konsoliderede CA-skema, dækkes ved at addere de beløb, der indberettes for hver enhed i skemaet "Koncernsolvens".</w:t>
      </w:r>
      <w:r>
        <w:t xml:space="preserve"> </w:t>
      </w:r>
      <w:r>
        <w:t xml:space="preserve">Der kan ikke linkes direkte til CA-skemaet, hvis tærsklen på 1 % ikke overskrides.</w:t>
      </w:r>
    </w:p>
    <w:p w14:paraId="606DC9DE"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 xml:space="preserve">36</w:t>
      </w:r>
      <w:r>
        <w:fldChar w:fldCharType="end"/>
      </w:r>
      <w:r>
        <w:t xml:space="preserve">.</w:t>
      </w:r>
      <w:r>
        <w:tab/>
      </w:r>
      <w:r>
        <w:t xml:space="preserve">Institutterne skal definere den mest hensigtsmæssige metode til opdeling mellem enhederne, så der tages højde for de mulige diversificeringsvirkninger for markedsrisiko og operationel risiko.</w:t>
      </w:r>
    </w:p>
    <w:p w14:paraId="6EE62E0D"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 xml:space="preserve">37</w:t>
      </w:r>
      <w:r>
        <w:fldChar w:fldCharType="end"/>
      </w:r>
      <w:r>
        <w:t xml:space="preserve">.</w:t>
      </w:r>
      <w:r>
        <w:tab/>
      </w:r>
      <w:r>
        <w:t xml:space="preserve">Én konsolideret koncern kan indgå i en anden konsolideret koncern.</w:t>
      </w:r>
      <w:r>
        <w:t xml:space="preserve"> </w:t>
      </w:r>
      <w:r>
        <w:t xml:space="preserve">Det betyder, at enhederne inden for en delkoncern skal indberettes enhed-for-enhed i GS-skemaet for hele koncernen, også selv om delkoncernen selv er omfattet af indberetningskrav.</w:t>
      </w:r>
      <w:r>
        <w:t xml:space="preserve"> </w:t>
      </w:r>
      <w:r>
        <w:t xml:space="preserve">En delkoncern, der er omfattet af indberetningskrav, skal også indberette GS-skemaet enhed-for-enhed, selv om disse oplysninger indgår i GS-skemaet for en konsolideret koncern på et højere niveau.</w:t>
      </w:r>
      <w:r>
        <w:t xml:space="preserve"> </w:t>
      </w:r>
    </w:p>
    <w:p w14:paraId="0F8191DA" w14:textId="77777777" w:rsidR="00173F08" w:rsidRPr="002A677E" w:rsidRDefault="00173F08" w:rsidP="00173F08">
      <w:pPr>
        <w:pStyle w:val="InstructionsText2"/>
        <w:numPr>
          <w:ilvl w:val="0"/>
          <w:numId w:val="0"/>
        </w:numPr>
      </w:pPr>
      <w:r>
        <w:fldChar w:fldCharType="begin" w:dirty="true"/>
      </w:r>
      <w:r>
        <w:instrText>seq paragraphs</w:instrText>
      </w:r>
      <w:r>
        <w:fldChar w:fldCharType="separate"/>
      </w:r>
      <w:r>
        <w:t xml:space="preserve">38</w:t>
      </w:r>
      <w:r>
        <w:fldChar w:fldCharType="end"/>
      </w:r>
      <w:r>
        <w:t xml:space="preserve">.</w:t>
      </w:r>
      <w:r>
        <w:tab/>
      </w:r>
      <w:r>
        <w:t xml:space="preserve">Et institut skal indberette data om en enheds bidrag, når enhedens bidrag til den samlede risikoeksponering overstiger 1 % af koncernens samlede risikoeksponering, eller når enhedens bidrag til det samlede kapitalgrundlag overstiger 1 % af koncernens samlede kapitalgrundlag.</w:t>
      </w:r>
      <w:r>
        <w:t xml:space="preserve"> </w:t>
      </w:r>
      <w:r>
        <w:t xml:space="preserve">Denne tærskel gælder ikke, hvis datterselskaber eller delkoncerner bidrager med kapitalgrundlag (i form af minoritetsinteresser eller kvalificerende hybride kernekapitalinstrumenter eller supplerende kapitalinstrumenter, der indgår i kapitalgrundlaget) til koncernen.</w:t>
      </w:r>
    </w:p>
    <w:p w14:paraId="78C505AC" w14:textId="77777777" w:rsidR="00173F08" w:rsidRPr="002A677E" w:rsidRDefault="00173F08" w:rsidP="00173F08">
      <w:pPr>
        <w:pStyle w:val="Instructionsberschrift2"/>
        <w:numPr>
          <w:ilvl w:val="0"/>
          <w:numId w:val="0"/>
        </w:numPr>
        <w:ind w:left="357" w:hanging="357"/>
        <w:rPr>
          <w:sz w:val="24"/>
          <w:rFonts w:ascii="Times New Roman" w:hAnsi="Times New Roman" w:cs="Times New Roman"/>
        </w:rPr>
      </w:pPr>
      <w:bookmarkStart w:id="13" w:name="_Toc473560891"/>
      <w:bookmarkStart w:id="14" w:name="_Toc151714379"/>
      <w:r>
        <w:rPr>
          <w:sz w:val="24"/>
          <w:u w:val="none"/>
          <w:rFonts w:ascii="Times New Roman" w:hAnsi="Times New Roman"/>
        </w:rPr>
        <w:t xml:space="preserve">2.4.</w:t>
      </w:r>
      <w:r>
        <w:tab/>
      </w:r>
      <w:r>
        <w:rPr>
          <w:sz w:val="24"/>
          <w:rFonts w:ascii="Times New Roman" w:hAnsi="Times New Roman"/>
        </w:rPr>
        <w:t xml:space="preserve">C 06.01 – KONCERNSOLVENS:</w:t>
      </w:r>
      <w:r>
        <w:rPr>
          <w:sz w:val="24"/>
          <w:rFonts w:ascii="Times New Roman" w:hAnsi="Times New Roman"/>
        </w:rPr>
        <w:t xml:space="preserve"> </w:t>
      </w:r>
      <w:r>
        <w:rPr>
          <w:sz w:val="24"/>
          <w:rFonts w:ascii="Times New Roman" w:hAnsi="Times New Roman"/>
        </w:rPr>
        <w:t xml:space="preserve">OPLYSNINGER OM TILKNYTTEDE SELSKABER — I ALT (GS I ALT)</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Kolonner</w:t>
            </w:r>
          </w:p>
        </w:tc>
        <w:tc>
          <w:tcPr>
            <w:tcW w:w="8640" w:type="dxa"/>
            <w:shd w:val="clear" w:color="auto" w:fill="CCCCCC"/>
          </w:tcPr>
          <w:p w14:paraId="3D7B9BD1"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Instrukser</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0250-0400</w:t>
            </w:r>
          </w:p>
        </w:tc>
        <w:tc>
          <w:tcPr>
            <w:tcW w:w="8640" w:type="dxa"/>
          </w:tcPr>
          <w:p w14:paraId="61E5CB21"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ENHEDER OMFATTET AF KONSOLIDERING</w:t>
            </w:r>
          </w:p>
          <w:p w14:paraId="47AE8E6C" w14:textId="77777777" w:rsidR="00173F08" w:rsidRPr="002A677E" w:rsidRDefault="00173F08" w:rsidP="00822842">
            <w:pPr>
              <w:rPr>
                <w:rStyle w:val="InstructionsTabelleberschrift"/>
                <w:b w:val="0"/>
                <w:bCs w:val="0"/>
                <w:sz w:val="24"/>
                <w:rFonts w:ascii="Times New Roman" w:hAnsi="Times New Roman"/>
              </w:rPr>
            </w:pPr>
            <w:r>
              <w:rPr>
                <w:rStyle w:val="InstructionsTabelleText"/>
                <w:sz w:val="24"/>
                <w:rFonts w:ascii="Times New Roman" w:hAnsi="Times New Roman"/>
              </w:rPr>
              <w:t xml:space="preserve">Se instrukser til C 06.02.</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KAPITALBUFFERE</w:t>
            </w:r>
          </w:p>
          <w:p w14:paraId="4257537D"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Se instrukser til C 06.02.</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Rækker</w:t>
            </w:r>
          </w:p>
        </w:tc>
        <w:tc>
          <w:tcPr>
            <w:tcW w:w="8640" w:type="dxa"/>
            <w:shd w:val="clear" w:color="auto" w:fill="CCCCCC"/>
          </w:tcPr>
          <w:p w14:paraId="49120A0C"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Instrukser</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640" w:type="dxa"/>
          </w:tcPr>
          <w:p w14:paraId="50489F38"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I ALT</w:t>
            </w:r>
          </w:p>
          <w:p w14:paraId="0D110F46" w14:textId="77777777" w:rsidR="00173F08" w:rsidRPr="002A677E" w:rsidRDefault="00173F08" w:rsidP="00822842">
            <w:pPr>
              <w:rPr>
                <w:rStyle w:val="InstructionsTabelleberschrift"/>
                <w:b w:val="0"/>
                <w:bCs w:val="0"/>
                <w:sz w:val="24"/>
                <w:rFonts w:ascii="Times New Roman" w:hAnsi="Times New Roman"/>
              </w:rPr>
            </w:pPr>
            <w:r>
              <w:rPr>
                <w:rStyle w:val="InstructionsTabelleText"/>
                <w:sz w:val="24"/>
                <w:rFonts w:ascii="Times New Roman" w:hAnsi="Times New Roman"/>
              </w:rPr>
              <w:t xml:space="preserve">"I alt" er summen af værdierne indberettet i samtlige rækker i skema C 06.02.</w:t>
            </w:r>
          </w:p>
        </w:tc>
      </w:tr>
    </w:tbl>
    <w:p w14:paraId="6ED4F138" w14:textId="77777777" w:rsidR="00173F08" w:rsidRPr="002A677E" w:rsidRDefault="00173F08" w:rsidP="00173F08">
      <w:pPr>
        <w:pStyle w:val="InstructionsText"/>
      </w:pPr>
    </w:p>
    <w:p w14:paraId="7A36DFA3" w14:textId="77777777" w:rsidR="00173F08" w:rsidRPr="002A677E" w:rsidRDefault="00173F08" w:rsidP="00173F08">
      <w:pPr>
        <w:pStyle w:val="Instructionsberschrift2"/>
        <w:numPr>
          <w:ilvl w:val="0"/>
          <w:numId w:val="0"/>
        </w:numPr>
        <w:ind w:left="357" w:hanging="357"/>
        <w:rPr>
          <w:sz w:val="24"/>
          <w:rFonts w:ascii="Times New Roman" w:hAnsi="Times New Roman" w:cs="Times New Roman"/>
        </w:rPr>
      </w:pPr>
      <w:bookmarkStart w:id="15" w:name="_Toc473560892"/>
      <w:bookmarkStart w:id="16" w:name="_Toc151714380"/>
      <w:r>
        <w:rPr>
          <w:sz w:val="24"/>
          <w:u w:val="none"/>
          <w:rFonts w:ascii="Times New Roman" w:hAnsi="Times New Roman"/>
        </w:rPr>
        <w:t xml:space="preserve">2.5.</w:t>
      </w:r>
      <w:r>
        <w:tab/>
      </w:r>
      <w:r>
        <w:rPr>
          <w:sz w:val="24"/>
          <w:rFonts w:ascii="Times New Roman" w:hAnsi="Times New Roman"/>
        </w:rPr>
        <w:t xml:space="preserve">C 06.02 – KONCERNSOLVENS:</w:t>
      </w:r>
      <w:r>
        <w:rPr>
          <w:sz w:val="24"/>
          <w:rFonts w:ascii="Times New Roman" w:hAnsi="Times New Roman"/>
        </w:rPr>
        <w:t xml:space="preserve"> </w:t>
      </w:r>
      <w:r>
        <w:rPr>
          <w:sz w:val="24"/>
          <w:rFonts w:ascii="Times New Roman" w:hAnsi="Times New Roman"/>
        </w:rPr>
        <w:t xml:space="preserve">OPLYSNINGER OM TILKNYTTEDE SELSKABER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Kolonner</w:t>
            </w:r>
          </w:p>
        </w:tc>
        <w:tc>
          <w:tcPr>
            <w:tcW w:w="8640" w:type="dxa"/>
            <w:shd w:val="clear" w:color="auto" w:fill="CCCCCC"/>
          </w:tcPr>
          <w:p w14:paraId="5B03B400"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Instrukser</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0011-0060</w:t>
            </w:r>
          </w:p>
        </w:tc>
        <w:tc>
          <w:tcPr>
            <w:tcW w:w="8640" w:type="dxa"/>
          </w:tcPr>
          <w:p w14:paraId="00983D2E"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ENHEDER OMFATTET AF KONSOLIDERING</w:t>
            </w:r>
          </w:p>
          <w:p w14:paraId="6B6FD15E" w14:textId="77777777" w:rsidR="00173F08" w:rsidRPr="002A677E" w:rsidRDefault="00173F08" w:rsidP="00822842">
            <w:pPr>
              <w:rPr>
                <w:rStyle w:val="InstructionsTabelleberschrift"/>
                <w:b w:val="0"/>
                <w:bCs w:val="0"/>
                <w:sz w:val="24"/>
                <w:rFonts w:ascii="Times New Roman" w:hAnsi="Times New Roman"/>
              </w:rPr>
            </w:pPr>
            <w:r>
              <w:rPr>
                <w:sz w:val="24"/>
                <w:rStyle w:val="InstructionsTabelleText"/>
                <w:rFonts w:ascii="Times New Roman" w:hAnsi="Times New Roman"/>
              </w:rPr>
              <w:t xml:space="preserve">I dette skema indberettes individuelle oplysninger om alle enheder i konsolideringen,</w:t>
            </w:r>
            <w:r>
              <w:rPr>
                <w:sz w:val="24"/>
                <w:rFonts w:ascii="Times New Roman" w:hAnsi="Times New Roman"/>
              </w:rPr>
              <w:t xml:space="preserve"> jf. første del, afsnit II, kapitel 2, i </w:t>
            </w:r>
            <w:r>
              <w:rPr>
                <w:sz w:val="24"/>
                <w:rStyle w:val="InstructionsTabelleText"/>
                <w:rFonts w:ascii="Times New Roman" w:hAnsi="Times New Roman"/>
              </w:rPr>
              <w:t xml:space="preserve">forordning (EU) nr. 575/2013.</w:t>
            </w:r>
            <w:r>
              <w:rPr>
                <w:sz w:val="24"/>
                <w:rStyle w:val="InstructionsTabelleText"/>
                <w:rFonts w:ascii="Times New Roman" w:hAnsi="Times New Roman"/>
              </w:rPr>
              <w:t xml:space="preserve">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0011</w:t>
            </w:r>
          </w:p>
        </w:tc>
        <w:tc>
          <w:tcPr>
            <w:tcW w:w="8640" w:type="dxa"/>
          </w:tcPr>
          <w:p w14:paraId="02F7D96C"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NAVN</w:t>
            </w:r>
          </w:p>
          <w:p w14:paraId="795CC1BF"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Navnet på enheden i konsolideringen.</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0021</w:t>
            </w:r>
          </w:p>
        </w:tc>
        <w:tc>
          <w:tcPr>
            <w:tcW w:w="8640" w:type="dxa"/>
          </w:tcPr>
          <w:p w14:paraId="54EC5591"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KODE</w:t>
            </w:r>
          </w:p>
          <w:p w14:paraId="099B8601" w14:textId="77777777" w:rsidR="00173F08" w:rsidRPr="002A677E" w:rsidRDefault="00173F08" w:rsidP="00822842">
            <w:pPr>
              <w:pStyle w:val="InstructionsText"/>
              <w:rPr>
                <w:rStyle w:val="InstructionsTabelleText"/>
              </w:rPr>
            </w:pPr>
            <w:r>
              <w:rPr>
                <w:rStyle w:val="InstructionsTabelleText"/>
              </w:rPr>
              <w:t xml:space="preserve">Koden skal som del af en ID-kode for en række være unik for hver indberettet enhed.</w:t>
            </w:r>
            <w:r>
              <w:rPr>
                <w:rStyle w:val="InstructionsTabelleText"/>
              </w:rPr>
              <w:t xml:space="preserve"> </w:t>
            </w:r>
            <w:r>
              <w:rPr>
                <w:rStyle w:val="InstructionsTabelleText"/>
              </w:rPr>
              <w:t xml:space="preserve">For institutter og forsikringsselskaber skal koden være LEI-koden.</w:t>
            </w:r>
            <w:r>
              <w:rPr>
                <w:rStyle w:val="InstructionsTabelleText"/>
              </w:rPr>
              <w:t xml:space="preserve"> </w:t>
            </w:r>
            <w:r>
              <w:rPr>
                <w:rStyle w:val="InstructionsTabelleText"/>
              </w:rPr>
              <w:t xml:space="preserve">For andre enheder skal koden være LEI-koden, eller, hvis en sådan ikke foreligger, en national kode.</w:t>
            </w:r>
            <w:r>
              <w:rPr>
                <w:rStyle w:val="InstructionsTabelleText"/>
              </w:rPr>
              <w:t xml:space="preserve"> </w:t>
            </w:r>
            <w:r>
              <w:rPr>
                <w:rStyle w:val="InstructionsTabelleText"/>
              </w:rPr>
              <w:t xml:space="preserve">Koden skal være unik og skal anvendes konsekvent i skemaerne og over tid.</w:t>
            </w:r>
            <w:r>
              <w:rPr>
                <w:rStyle w:val="InstructionsTabelleText"/>
              </w:rPr>
              <w:t xml:space="preserve"> </w:t>
            </w:r>
            <w:r>
              <w:rPr>
                <w:rStyle w:val="InstructionsTabelleText"/>
              </w:rPr>
              <w:t xml:space="preserve">Koden skal altid have en værdi.</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0026</w:t>
            </w:r>
          </w:p>
        </w:tc>
        <w:tc>
          <w:tcPr>
            <w:tcW w:w="8640" w:type="dxa"/>
          </w:tcPr>
          <w:p w14:paraId="5B6693C9"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KODETYPE</w:t>
            </w:r>
          </w:p>
          <w:p w14:paraId="094070A5" w14:textId="77777777" w:rsidR="00173F08" w:rsidRPr="002A677E" w:rsidRDefault="00173F08" w:rsidP="00822842">
            <w:pPr>
              <w:rPr>
                <w:rStyle w:val="InstructionsTabelleberschrift"/>
                <w:sz w:val="24"/>
                <w:rFonts w:ascii="Times New Roman" w:hAnsi="Times New Roman"/>
              </w:rPr>
            </w:pPr>
            <w:r>
              <w:rPr>
                <w:sz w:val="24"/>
                <w:rStyle w:val="InstructionsTabelleText"/>
                <w:rFonts w:ascii="Times New Roman" w:hAnsi="Times New Roman"/>
              </w:rPr>
              <w:t xml:space="preserve">Institutterne skal identificere kodetypen indberettet i</w:t>
            </w:r>
            <w:r>
              <w:rPr>
                <w:sz w:val="24"/>
                <w:rFonts w:ascii="Times New Roman" w:hAnsi="Times New Roman"/>
              </w:rPr>
              <w:t xml:space="preserve"> </w:t>
            </w:r>
            <w:r>
              <w:rPr>
                <w:sz w:val="24"/>
                <w:rStyle w:val="FormatvorlageInstructionsTabelleText"/>
                <w:rFonts w:ascii="Times New Roman" w:hAnsi="Times New Roman"/>
              </w:rPr>
              <w:t xml:space="preserve">kolonne 0021 som en "LEI-kode" eller "ikke-LEI-kode".</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Kodetypen skal altid indberettes.</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0027</w:t>
            </w:r>
          </w:p>
        </w:tc>
        <w:tc>
          <w:tcPr>
            <w:tcW w:w="8640" w:type="dxa"/>
          </w:tcPr>
          <w:p w14:paraId="046D2852"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NATIONAL KODE</w:t>
            </w:r>
          </w:p>
          <w:p w14:paraId="6AB087F6" w14:textId="77777777" w:rsidR="00173F08" w:rsidRPr="002A677E" w:rsidDel="00BF0637" w:rsidRDefault="00173F08" w:rsidP="00822842">
            <w:pPr>
              <w:rPr>
                <w:rStyle w:val="InstructionsTabelleberschrift"/>
                <w:sz w:val="24"/>
                <w:rFonts w:ascii="Times New Roman" w:hAnsi="Times New Roman"/>
              </w:rPr>
            </w:pPr>
            <w:r>
              <w:rPr>
                <w:sz w:val="24"/>
                <w:rFonts w:ascii="Times New Roman" w:hAnsi="Times New Roman"/>
              </w:rPr>
              <w:t xml:space="preserve">Institutterne kan også indberette den nationale kode, hvis de indberetter LEI-koden som ID-kode i "Kode"-kolonnen.</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0030</w:t>
            </w:r>
          </w:p>
        </w:tc>
        <w:tc>
          <w:tcPr>
            <w:tcW w:w="8640" w:type="dxa"/>
          </w:tcPr>
          <w:p w14:paraId="51843D3A"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INSTITUT ELLER TILSVARENDE (JA/NEJ)</w:t>
            </w:r>
          </w:p>
          <w:p w14:paraId="592DC07F"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"JA" indberettes, hvis enheden er omfattet af kapitalgrundlagskrav i henhold til forordning (EU) nr. 575/2013 og direktiv 2013/36/EU eller bestemmelser, der mindst svarer til Baselbestemmelserne.</w:t>
            </w:r>
          </w:p>
          <w:p w14:paraId="4B3EAD97"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"NEJ" indberettes i andre tilfælde.</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sz w:val="24"/>
                <w:rFonts w:ascii="Times New Roman" w:hAnsi="Times New Roman"/>
              </w:rPr>
            </w:pPr>
            <w:r>
              <w:rPr>
                <w:rStyle w:val="InstructionsTabelleText"/>
                <w:sz w:val="24"/>
                <w:rFonts w:ascii="Wingdings" w:hAnsi="Wingdings"/>
              </w:rPr>
              <w:t xml:space="preserve"></w:t>
            </w:r>
            <w:r>
              <w:tab/>
            </w:r>
            <w:r>
              <w:rPr>
                <w:rStyle w:val="InstructionsTabelleText"/>
                <w:sz w:val="24"/>
                <w:rFonts w:ascii="Times New Roman" w:hAnsi="Times New Roman"/>
              </w:rPr>
              <w:t xml:space="preserve">Minoritetsinteresser:</w:t>
            </w:r>
          </w:p>
          <w:p w14:paraId="753444E9"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 </w:t>
            </w:r>
            <w:r>
              <w:rPr>
                <w:sz w:val="24"/>
                <w:rFonts w:ascii="Times New Roman" w:hAnsi="Times New Roman"/>
              </w:rPr>
              <w:t xml:space="preserve">Artikel 81, stk. 1, litra a), nr. ii), og artikel 82, stk. 1, litra a), nr. ii), i forordning (EU) nr. 575/2013</w:t>
            </w:r>
          </w:p>
          <w:p w14:paraId="714487FE"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For så vidt angår minoritetsinteresser samt hybride kernekapitalinstrumenter og supplerende kapitalinstrumenter udstedt af datterselskaber, skal datterselskaber, hvis instrumenter kan være kvalificerede, være institutter eller virksomheder, der i medfør af gældende national lovgivning er underlagt kravene i forordning (EU) nr. 575/2013.</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0035</w:t>
            </w:r>
          </w:p>
        </w:tc>
        <w:tc>
          <w:tcPr>
            <w:tcW w:w="8640" w:type="dxa"/>
          </w:tcPr>
          <w:p w14:paraId="301D03B9"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TYPE ENHED</w:t>
            </w:r>
          </w:p>
          <w:p w14:paraId="64249F7B" w14:textId="77777777" w:rsidR="00173F08" w:rsidRPr="002A677E" w:rsidRDefault="00173F08" w:rsidP="00822842">
            <w:pPr>
              <w:rPr>
                <w:rStyle w:val="InstructionsTabelleText"/>
                <w:bCs/>
                <w:sz w:val="24"/>
                <w:rFonts w:ascii="Times New Roman" w:hAnsi="Times New Roman"/>
              </w:rPr>
            </w:pPr>
            <w:r>
              <w:rPr>
                <w:rStyle w:val="InstructionsTabelleText"/>
                <w:sz w:val="24"/>
                <w:rFonts w:ascii="Times New Roman" w:hAnsi="Times New Roman"/>
              </w:rPr>
              <w:t xml:space="preserve">Typen af enhed indberettes på grundlag af følgende kategorier:</w:t>
            </w:r>
          </w:p>
          <w:p w14:paraId="6C071244" w14:textId="77777777" w:rsidR="00173F08" w:rsidRPr="002A677E" w:rsidRDefault="00173F08" w:rsidP="00822842">
            <w:pPr>
              <w:tabs>
                <w:tab w:val="left" w:pos="372"/>
              </w:tabs>
              <w:rPr>
                <w:rStyle w:val="InstructionsTabelleText"/>
                <w:sz w:val="24"/>
                <w:rFonts w:ascii="Times New Roman" w:hAnsi="Times New Roman"/>
              </w:rPr>
            </w:pPr>
            <w:r>
              <w:rPr>
                <w:rStyle w:val="InstructionsTabelleText"/>
                <w:sz w:val="24"/>
                <w:rFonts w:ascii="Times New Roman" w:hAnsi="Times New Roman"/>
              </w:rPr>
              <w:t xml:space="preserve">a)</w:t>
            </w:r>
            <w:r>
              <w:tab/>
            </w:r>
            <w:r>
              <w:rPr>
                <w:rStyle w:val="InstructionsTabelleText"/>
                <w:sz w:val="24"/>
                <w:rFonts w:ascii="Times New Roman" w:hAnsi="Times New Roman"/>
              </w:rPr>
              <w:t xml:space="preserve">kreditinstitut</w:t>
            </w:r>
          </w:p>
          <w:p w14:paraId="665499B6" w14:textId="77777777" w:rsidR="00173F08" w:rsidRPr="002A677E" w:rsidRDefault="00173F08" w:rsidP="00822842">
            <w:pPr>
              <w:tabs>
                <w:tab w:val="left" w:pos="372"/>
              </w:tabs>
              <w:rPr>
                <w:rStyle w:val="InstructionsTabelleText"/>
                <w:sz w:val="24"/>
                <w:rFonts w:ascii="Times New Roman" w:hAnsi="Times New Roman"/>
              </w:rPr>
            </w:pPr>
            <w:r>
              <w:tab/>
            </w:r>
            <w:r>
              <w:rPr>
                <w:sz w:val="24"/>
                <w:rFonts w:ascii="Times New Roman" w:hAnsi="Times New Roman"/>
              </w:rPr>
              <w:t xml:space="preserve">Artikel 4, stk. 1, nr. 1), i forordning (EU) nr. 575/2013</w:t>
            </w:r>
          </w:p>
          <w:p w14:paraId="5699C13E" w14:textId="77777777" w:rsidR="00173F08" w:rsidRPr="002A677E" w:rsidRDefault="00173F08" w:rsidP="00822842">
            <w:pPr>
              <w:tabs>
                <w:tab w:val="left" w:pos="372"/>
              </w:tabs>
              <w:rPr>
                <w:rStyle w:val="InstructionsTabelleText"/>
                <w:bCs/>
                <w:sz w:val="24"/>
                <w:rFonts w:ascii="Times New Roman" w:hAnsi="Times New Roman"/>
              </w:rPr>
            </w:pPr>
            <w:r>
              <w:rPr>
                <w:rStyle w:val="InstructionsTabelleText"/>
                <w:sz w:val="24"/>
                <w:rFonts w:ascii="Times New Roman" w:hAnsi="Times New Roman"/>
              </w:rPr>
              <w:t xml:space="preserve">b)</w:t>
            </w:r>
            <w:r>
              <w:tab/>
            </w:r>
            <w:r>
              <w:rPr>
                <w:rStyle w:val="InstructionsTabelleText"/>
                <w:sz w:val="24"/>
                <w:rFonts w:ascii="Times New Roman" w:hAnsi="Times New Roman"/>
              </w:rPr>
              <w:t xml:space="preserve">investeringsselskab</w:t>
            </w:r>
          </w:p>
          <w:p w14:paraId="63975777" w14:textId="77777777" w:rsidR="00173F08" w:rsidRPr="002A677E" w:rsidRDefault="00173F08" w:rsidP="00822842">
            <w:pPr>
              <w:tabs>
                <w:tab w:val="left" w:pos="372"/>
              </w:tabs>
              <w:rPr>
                <w:rStyle w:val="InstructionsTabelleText"/>
                <w:bCs/>
                <w:sz w:val="24"/>
                <w:rFonts w:ascii="Times New Roman" w:hAnsi="Times New Roman"/>
              </w:rPr>
            </w:pPr>
            <w:r>
              <w:tab/>
            </w:r>
            <w:r>
              <w:rPr>
                <w:sz w:val="24"/>
                <w:rFonts w:ascii="Times New Roman" w:hAnsi="Times New Roman"/>
              </w:rPr>
              <w:t xml:space="preserve">Artikel 4, stk. 1, nr. 2), i forordning (EU) nr. 575/2013</w:t>
            </w:r>
          </w:p>
          <w:p w14:paraId="4003584E" w14:textId="77777777" w:rsidR="00173F08" w:rsidRPr="002A677E" w:rsidRDefault="00173F08" w:rsidP="00822842">
            <w:pPr>
              <w:tabs>
                <w:tab w:val="left" w:pos="372"/>
              </w:tabs>
              <w:rPr>
                <w:rStyle w:val="InstructionsTabelleText"/>
                <w:bCs/>
                <w:sz w:val="24"/>
                <w:rFonts w:ascii="Times New Roman" w:hAnsi="Times New Roman"/>
              </w:rPr>
            </w:pPr>
            <w:r>
              <w:rPr>
                <w:rStyle w:val="InstructionsTabelleText"/>
                <w:sz w:val="24"/>
                <w:rFonts w:ascii="Times New Roman" w:hAnsi="Times New Roman"/>
              </w:rPr>
              <w:t xml:space="preserve">c)</w:t>
            </w:r>
            <w:r>
              <w:tab/>
            </w:r>
            <w:r>
              <w:rPr>
                <w:rStyle w:val="InstructionsTabelleText"/>
                <w:sz w:val="24"/>
                <w:rFonts w:ascii="Times New Roman" w:hAnsi="Times New Roman"/>
              </w:rPr>
              <w:t xml:space="preserve">finansieringsinstitut (andet)</w:t>
            </w:r>
          </w:p>
          <w:p w14:paraId="5B5F8DA3" w14:textId="77777777" w:rsidR="00173F08" w:rsidRPr="002A677E" w:rsidRDefault="00173F08" w:rsidP="00822842">
            <w:pPr>
              <w:tabs>
                <w:tab w:val="left" w:pos="372"/>
              </w:tabs>
              <w:rPr>
                <w:rStyle w:val="InstructionsTabelleText"/>
                <w:bCs/>
                <w:sz w:val="24"/>
                <w:rFonts w:ascii="Times New Roman" w:hAnsi="Times New Roman"/>
              </w:rPr>
            </w:pPr>
            <w:r>
              <w:tab/>
            </w:r>
            <w:r>
              <w:rPr>
                <w:sz w:val="24"/>
                <w:rFonts w:ascii="Times New Roman" w:hAnsi="Times New Roman"/>
              </w:rPr>
              <w:t xml:space="preserve">Artikel 4, stk. 1, nr. 20), 21) og 26), i forordning (EU) nr. 575/2013</w:t>
            </w:r>
          </w:p>
          <w:p w14:paraId="7BC9963B" w14:textId="76B95B64" w:rsidR="00173F08" w:rsidRPr="002A677E" w:rsidRDefault="00173F08" w:rsidP="00822842">
            <w:pPr>
              <w:tabs>
                <w:tab w:val="left" w:pos="372"/>
              </w:tabs>
              <w:ind w:left="399" w:hanging="399"/>
              <w:rPr>
                <w:rStyle w:val="InstructionsTabelleText"/>
                <w:bCs/>
                <w:sz w:val="24"/>
                <w:rFonts w:ascii="Times New Roman" w:hAnsi="Times New Roman"/>
              </w:rPr>
            </w:pPr>
            <w:r>
              <w:tab/>
            </w:r>
            <w:r>
              <w:rPr>
                <w:sz w:val="24"/>
                <w:rStyle w:val="InstructionsTabelleText"/>
                <w:rFonts w:ascii="Times New Roman" w:hAnsi="Times New Roman"/>
              </w:rPr>
              <w:t xml:space="preserve">Finansieringsinstitutter som omhandlet i artikel 4, stk. 1, nr. 26),</w:t>
            </w:r>
            <w:r>
              <w:rPr>
                <w:sz w:val="24"/>
                <w:rFonts w:ascii="Times New Roman" w:hAnsi="Times New Roman"/>
              </w:rPr>
              <w:t xml:space="preserve"> i forordning (EU) nr. 575/2013, </w:t>
            </w:r>
            <w:r>
              <w:rPr>
                <w:sz w:val="24"/>
                <w:rStyle w:val="InstructionsTabelleText"/>
                <w:rFonts w:ascii="Times New Roman" w:hAnsi="Times New Roman"/>
              </w:rPr>
              <w:t xml:space="preserve">som ikke hører ind under en af kategorierne d), e) eller g)</w:t>
            </w:r>
          </w:p>
          <w:p w14:paraId="7F954479" w14:textId="77777777" w:rsidR="00173F08" w:rsidRPr="002A677E" w:rsidRDefault="00173F08" w:rsidP="00822842">
            <w:pPr>
              <w:tabs>
                <w:tab w:val="left" w:pos="372"/>
              </w:tabs>
              <w:rPr>
                <w:rStyle w:val="InstructionsTabelleText"/>
                <w:bCs/>
                <w:sz w:val="24"/>
                <w:rFonts w:ascii="Times New Roman" w:hAnsi="Times New Roman"/>
              </w:rPr>
            </w:pPr>
            <w:r>
              <w:rPr>
                <w:rStyle w:val="InstructionsTabelleText"/>
                <w:sz w:val="24"/>
                <w:rFonts w:ascii="Times New Roman" w:hAnsi="Times New Roman"/>
              </w:rPr>
              <w:t xml:space="preserve">d)</w:t>
            </w:r>
            <w:r>
              <w:tab/>
            </w:r>
            <w:r>
              <w:rPr>
                <w:rStyle w:val="InstructionsTabelleText"/>
                <w:sz w:val="24"/>
                <w:rFonts w:ascii="Times New Roman" w:hAnsi="Times New Roman"/>
              </w:rPr>
              <w:t xml:space="preserve">(blandet) finansielt holdingselskab</w:t>
            </w:r>
          </w:p>
          <w:p w14:paraId="1C70DDA8" w14:textId="77777777" w:rsidR="00173F08" w:rsidRPr="002A677E" w:rsidRDefault="00173F08" w:rsidP="00822842">
            <w:pPr>
              <w:tabs>
                <w:tab w:val="left" w:pos="372"/>
              </w:tabs>
              <w:rPr>
                <w:rStyle w:val="InstructionsTabelleText"/>
                <w:bCs/>
                <w:sz w:val="24"/>
                <w:rFonts w:ascii="Times New Roman" w:hAnsi="Times New Roman"/>
              </w:rPr>
            </w:pPr>
            <w:r>
              <w:tab/>
            </w:r>
            <w:r>
              <w:rPr>
                <w:sz w:val="24"/>
                <w:rFonts w:ascii="Times New Roman" w:hAnsi="Times New Roman"/>
              </w:rPr>
              <w:t xml:space="preserve">Artikel 4, stk. 1, nr. 20) og 21) i forordning (EU) nr. 575/2013</w:t>
            </w:r>
          </w:p>
          <w:p w14:paraId="30F427B6" w14:textId="77777777" w:rsidR="00173F08" w:rsidRPr="002A677E" w:rsidRDefault="00173F08" w:rsidP="00822842">
            <w:pPr>
              <w:tabs>
                <w:tab w:val="left" w:pos="372"/>
              </w:tabs>
              <w:rPr>
                <w:rStyle w:val="InstructionsTabelleText"/>
                <w:bCs/>
                <w:sz w:val="24"/>
                <w:rFonts w:ascii="Times New Roman" w:hAnsi="Times New Roman"/>
              </w:rPr>
            </w:pPr>
            <w:r>
              <w:rPr>
                <w:rStyle w:val="InstructionsTabelleText"/>
                <w:sz w:val="24"/>
                <w:rFonts w:ascii="Times New Roman" w:hAnsi="Times New Roman"/>
              </w:rPr>
              <w:t xml:space="preserve">e)</w:t>
            </w:r>
            <w:r>
              <w:tab/>
            </w:r>
            <w:r>
              <w:rPr>
                <w:rStyle w:val="InstructionsTabelleText"/>
                <w:sz w:val="24"/>
                <w:rFonts w:ascii="Times New Roman" w:hAnsi="Times New Roman"/>
              </w:rPr>
              <w:t xml:space="preserve">accessorisk servicevirksomhed</w:t>
            </w:r>
          </w:p>
          <w:p w14:paraId="21A43501" w14:textId="77777777" w:rsidR="00173F08" w:rsidRPr="002A677E" w:rsidRDefault="00173F08" w:rsidP="00822842">
            <w:pPr>
              <w:tabs>
                <w:tab w:val="left" w:pos="372"/>
              </w:tabs>
              <w:rPr>
                <w:rStyle w:val="InstructionsTabelleText"/>
                <w:bCs/>
                <w:sz w:val="24"/>
                <w:rFonts w:ascii="Times New Roman" w:hAnsi="Times New Roman"/>
              </w:rPr>
            </w:pPr>
            <w:r>
              <w:tab/>
            </w:r>
            <w:r>
              <w:rPr>
                <w:sz w:val="24"/>
                <w:rFonts w:ascii="Times New Roman" w:hAnsi="Times New Roman"/>
              </w:rPr>
              <w:t xml:space="preserve">Artikel 4, stk. 1, nr. 18), i forordning (EU) nr. 575/2013</w:t>
            </w:r>
          </w:p>
          <w:p w14:paraId="33923092" w14:textId="77777777" w:rsidR="00173F08" w:rsidRPr="002A677E" w:rsidRDefault="00173F08" w:rsidP="00822842">
            <w:pPr>
              <w:tabs>
                <w:tab w:val="left" w:pos="372"/>
              </w:tabs>
              <w:rPr>
                <w:rStyle w:val="InstructionsTabelleText"/>
                <w:bCs/>
                <w:sz w:val="24"/>
                <w:rFonts w:ascii="Times New Roman" w:hAnsi="Times New Roman"/>
              </w:rPr>
            </w:pPr>
            <w:r>
              <w:rPr>
                <w:rStyle w:val="InstructionsTabelleText"/>
                <w:sz w:val="24"/>
                <w:rFonts w:ascii="Times New Roman" w:hAnsi="Times New Roman"/>
              </w:rPr>
              <w:t xml:space="preserve">f)</w:t>
            </w:r>
            <w:r>
              <w:tab/>
            </w:r>
            <w:r>
              <w:rPr>
                <w:rStyle w:val="InstructionsTabelleText"/>
                <w:sz w:val="24"/>
                <w:rFonts w:ascii="Times New Roman" w:hAnsi="Times New Roman"/>
              </w:rPr>
              <w:t xml:space="preserve">securitiseringsenhed med særligt formål ("SSPE")</w:t>
            </w:r>
          </w:p>
          <w:p w14:paraId="0A5E1647" w14:textId="77777777" w:rsidR="00173F08" w:rsidRPr="002A677E" w:rsidRDefault="00173F08" w:rsidP="00822842">
            <w:pPr>
              <w:tabs>
                <w:tab w:val="left" w:pos="372"/>
              </w:tabs>
              <w:rPr>
                <w:rStyle w:val="InstructionsTabelleText"/>
                <w:bCs/>
                <w:sz w:val="24"/>
                <w:rFonts w:ascii="Times New Roman" w:hAnsi="Times New Roman"/>
              </w:rPr>
            </w:pPr>
            <w:r>
              <w:tab/>
            </w:r>
            <w:r>
              <w:rPr>
                <w:sz w:val="24"/>
                <w:rFonts w:ascii="Times New Roman" w:hAnsi="Times New Roman"/>
              </w:rPr>
              <w:t xml:space="preserve">Artikel 4, stk. 1, nr. 66), i forordning (EU) nr. 575/2013</w:t>
            </w:r>
          </w:p>
          <w:p w14:paraId="56894EF9" w14:textId="77777777" w:rsidR="00173F08" w:rsidRPr="002A677E" w:rsidRDefault="00173F08" w:rsidP="00822842">
            <w:pPr>
              <w:tabs>
                <w:tab w:val="left" w:pos="372"/>
              </w:tabs>
              <w:rPr>
                <w:rStyle w:val="InstructionsTabelleText"/>
                <w:bCs/>
                <w:sz w:val="24"/>
                <w:rFonts w:ascii="Times New Roman" w:hAnsi="Times New Roman"/>
              </w:rPr>
            </w:pPr>
            <w:r>
              <w:rPr>
                <w:rStyle w:val="InstructionsTabelleText"/>
                <w:sz w:val="24"/>
                <w:rFonts w:ascii="Times New Roman" w:hAnsi="Times New Roman"/>
              </w:rPr>
              <w:t xml:space="preserve">g)</w:t>
            </w:r>
            <w:r>
              <w:tab/>
            </w:r>
            <w:r>
              <w:rPr>
                <w:rStyle w:val="InstructionsTabelleText"/>
                <w:sz w:val="24"/>
                <w:rFonts w:ascii="Times New Roman" w:hAnsi="Times New Roman"/>
              </w:rPr>
              <w:t xml:space="preserve">selskab for særligt dækkede obligationer og særligt dækkede realkreditobligationer</w:t>
            </w:r>
          </w:p>
          <w:p w14:paraId="6CA79499" w14:textId="77777777" w:rsidR="00173F08" w:rsidRPr="002A677E" w:rsidRDefault="00173F08" w:rsidP="00822842">
            <w:pPr>
              <w:tabs>
                <w:tab w:val="left" w:pos="372"/>
              </w:tabs>
              <w:ind w:left="372"/>
              <w:rPr>
                <w:rStyle w:val="InstructionsTabelleText"/>
                <w:bCs/>
                <w:sz w:val="24"/>
                <w:rFonts w:ascii="Times New Roman" w:hAnsi="Times New Roman"/>
              </w:rPr>
            </w:pPr>
            <w:r>
              <w:rPr>
                <w:rStyle w:val="InstructionsTabelleText"/>
                <w:sz w:val="24"/>
                <w:rFonts w:ascii="Times New Roman" w:hAnsi="Times New Roman"/>
              </w:rPr>
              <w:t xml:space="preserve">Enhed, der er oprettet for at udstede særligt dækkede obligationer eller særligt dækkede realkreditobligationer eller til at opbevare sikkerhedsstillelsen for en særlig dækket obligation eller en særligt dækket realkreditobligation, hvis den ikke hører ind under en af kategorierne a), b) eller d)-f) ovenfor</w:t>
            </w:r>
          </w:p>
          <w:p w14:paraId="73FCB23B" w14:textId="77777777" w:rsidR="00173F08" w:rsidRPr="002A677E" w:rsidRDefault="00173F08" w:rsidP="00822842">
            <w:pPr>
              <w:tabs>
                <w:tab w:val="left" w:pos="372"/>
              </w:tabs>
              <w:rPr>
                <w:rStyle w:val="InstructionsTabelleText"/>
                <w:sz w:val="24"/>
                <w:rFonts w:ascii="Times New Roman" w:hAnsi="Times New Roman"/>
              </w:rPr>
            </w:pPr>
            <w:r>
              <w:rPr>
                <w:rStyle w:val="InstructionsTabelleText"/>
                <w:sz w:val="24"/>
                <w:rFonts w:ascii="Times New Roman" w:hAnsi="Times New Roman"/>
              </w:rPr>
              <w:t xml:space="preserve">h)</w:t>
            </w:r>
            <w:r>
              <w:tab/>
            </w:r>
            <w:r>
              <w:rPr>
                <w:rStyle w:val="InstructionsTabelleText"/>
                <w:sz w:val="24"/>
                <w:rFonts w:ascii="Times New Roman" w:hAnsi="Times New Roman"/>
              </w:rPr>
              <w:t xml:space="preserve">anden type enhed</w:t>
            </w:r>
          </w:p>
          <w:p w14:paraId="404E7CFE" w14:textId="77777777" w:rsidR="00173F08" w:rsidRPr="002A677E" w:rsidRDefault="00173F08" w:rsidP="00822842">
            <w:pPr>
              <w:tabs>
                <w:tab w:val="left" w:pos="372"/>
              </w:tabs>
              <w:ind w:left="372"/>
              <w:rPr>
                <w:rStyle w:val="InstructionsTabelleberschrift"/>
                <w:b w:val="0"/>
                <w:sz w:val="24"/>
                <w:rFonts w:ascii="Times New Roman" w:hAnsi="Times New Roman"/>
              </w:rPr>
            </w:pPr>
            <w:r>
              <w:rPr>
                <w:rStyle w:val="InstructionsTabelleberschrift"/>
                <w:sz w:val="24"/>
                <w:rFonts w:ascii="Times New Roman" w:hAnsi="Times New Roman"/>
              </w:rPr>
              <w:t xml:space="preserve">Anden enhed i de i litra a)-g) omhandlede enheder.</w:t>
            </w:r>
          </w:p>
          <w:p w14:paraId="1E1DE3FB" w14:textId="77777777" w:rsidR="00173F08" w:rsidRPr="002A677E" w:rsidRDefault="00173F08" w:rsidP="00822842">
            <w:pPr>
              <w:tabs>
                <w:tab w:val="left" w:pos="372"/>
              </w:tabs>
              <w:rPr>
                <w:rStyle w:val="InstructionsTabelleberschrift"/>
                <w:b w:val="0"/>
                <w:sz w:val="24"/>
                <w:rFonts w:ascii="Times New Roman" w:hAnsi="Times New Roman"/>
              </w:rPr>
            </w:pPr>
            <w:r>
              <w:rPr>
                <w:sz w:val="24"/>
                <w:rStyle w:val="InstructionsTabelleberschrift"/>
                <w:rFonts w:ascii="Times New Roman" w:hAnsi="Times New Roman"/>
              </w:rPr>
              <w:t xml:space="preserve">Hvis en enhed ikke er omfattet af</w:t>
            </w:r>
            <w:r>
              <w:rPr>
                <w:sz w:val="24"/>
                <w:rFonts w:ascii="Times New Roman" w:hAnsi="Times New Roman"/>
              </w:rPr>
              <w:t xml:space="preserve"> forordning (EU) nr. 575/2013 </w:t>
            </w:r>
            <w:r>
              <w:rPr>
                <w:sz w:val="24"/>
                <w:rStyle w:val="InstructionsTabelleberschrift"/>
                <w:rFonts w:ascii="Times New Roman" w:hAnsi="Times New Roman"/>
              </w:rPr>
              <w:t xml:space="preserve">og</w:t>
            </w:r>
            <w:r>
              <w:rPr>
                <w:sz w:val="24"/>
                <w:rFonts w:ascii="Times New Roman" w:hAnsi="Times New Roman"/>
              </w:rPr>
              <w:t xml:space="preserve"> direktiv 2013/36/EU, </w:t>
            </w:r>
            <w:r>
              <w:rPr>
                <w:sz w:val="24"/>
                <w:rStyle w:val="InstructionsTabelleberschrift"/>
                <w:rFonts w:ascii="Times New Roman" w:hAnsi="Times New Roman"/>
              </w:rPr>
              <w:t xml:space="preserve">men er omfattet af bestemmelser, der mindst svarer til Baselbestemmelserne, bestemmes den relevante kategori på bedst mulig måde.</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0040</w:t>
            </w:r>
          </w:p>
        </w:tc>
        <w:tc>
          <w:tcPr>
            <w:tcW w:w="8640" w:type="dxa"/>
          </w:tcPr>
          <w:p w14:paraId="6CCCE12B" w14:textId="77777777" w:rsidR="00173F08" w:rsidRPr="002A677E" w:rsidRDefault="00173F08" w:rsidP="00822842">
            <w:pPr>
              <w:rPr>
                <w:b/>
                <w:sz w:val="24"/>
                <w:u w:val="single"/>
                <w:rFonts w:ascii="Times New Roman" w:hAnsi="Times New Roman"/>
              </w:rPr>
            </w:pPr>
            <w:r>
              <w:rPr>
                <w:b/>
                <w:sz w:val="24"/>
                <w:u w:val="single"/>
                <w:rFonts w:ascii="Times New Roman" w:hAnsi="Times New Roman"/>
              </w:rPr>
              <w:t xml:space="preserve">OMFANG AF DATA:</w:t>
            </w:r>
            <w:r>
              <w:rPr>
                <w:b/>
                <w:sz w:val="24"/>
                <w:u w:val="single"/>
                <w:rFonts w:ascii="Times New Roman" w:hAnsi="Times New Roman"/>
              </w:rPr>
              <w:t xml:space="preserve"> </w:t>
            </w:r>
            <w:r>
              <w:rPr>
                <w:b/>
                <w:sz w:val="24"/>
                <w:u w:val="single"/>
                <w:caps/>
                <w:rFonts w:ascii="Times New Roman" w:hAnsi="Times New Roman"/>
              </w:rPr>
              <w:t xml:space="preserve">individuelt fuldt konsoliderede (SF) ELLER individuelt delvist konsoliderede (SP)</w:t>
            </w:r>
          </w:p>
          <w:p w14:paraId="0AE72FF3" w14:textId="77777777" w:rsidR="00173F08" w:rsidRPr="002A677E" w:rsidRDefault="00173F08" w:rsidP="00822842">
            <w:pPr>
              <w:rPr>
                <w:rStyle w:val="Heading1Char"/>
                <w:sz w:val="24"/>
                <w:rFonts w:ascii="Times New Roman" w:hAnsi="Times New Roman"/>
              </w:rPr>
            </w:pPr>
            <w:r>
              <w:rPr>
                <w:sz w:val="24"/>
                <w:rFonts w:ascii="Times New Roman" w:hAnsi="Times New Roman"/>
              </w:rPr>
              <w:t xml:space="preserve">"SF" indberettes for individuelle datterselskaber, der er fuldt konsoliderede.</w:t>
            </w:r>
            <w:r>
              <w:rPr>
                <w:sz w:val="24"/>
                <w:rStyle w:val="Heading1Char"/>
                <w:rFonts w:ascii="Times New Roman" w:hAnsi="Times New Roman"/>
              </w:rPr>
              <w:t xml:space="preserve"> </w:t>
            </w:r>
          </w:p>
          <w:p w14:paraId="62274488" w14:textId="77777777" w:rsidR="00173F08" w:rsidRPr="002A677E" w:rsidRDefault="00173F08" w:rsidP="00822842">
            <w:pPr>
              <w:rPr>
                <w:rStyle w:val="InstructionsTabelleText"/>
                <w:smallCaps/>
                <w:sz w:val="24"/>
                <w:rFonts w:ascii="Times New Roman" w:hAnsi="Times New Roman"/>
              </w:rPr>
            </w:pPr>
            <w:r>
              <w:rPr>
                <w:sz w:val="24"/>
                <w:rFonts w:ascii="Times New Roman" w:hAnsi="Times New Roman"/>
              </w:rPr>
              <w:t xml:space="preserve">"SP" indberettes for individuelle datterselskaber, der er delvist konsoliderede.</w:t>
            </w:r>
            <w:r>
              <w:rPr>
                <w:sz w:val="24"/>
                <w:rStyle w:val="InstructionsTabelleText"/>
                <w:i/>
                <w:rFonts w:ascii="Times New Roman" w:hAnsi="Times New Roman"/>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0050</w:t>
            </w:r>
          </w:p>
        </w:tc>
        <w:tc>
          <w:tcPr>
            <w:tcW w:w="8640" w:type="dxa"/>
          </w:tcPr>
          <w:p w14:paraId="00CDACE7" w14:textId="77777777" w:rsidR="00173F08" w:rsidRPr="002A677E" w:rsidRDefault="00173F08" w:rsidP="00822842">
            <w:pPr>
              <w:rPr>
                <w:b/>
                <w:sz w:val="24"/>
                <w:u w:val="single"/>
                <w:rFonts w:ascii="Times New Roman" w:hAnsi="Times New Roman"/>
              </w:rPr>
            </w:pPr>
            <w:r>
              <w:rPr>
                <w:b/>
                <w:sz w:val="24"/>
                <w:u w:val="single"/>
                <w:rFonts w:ascii="Times New Roman" w:hAnsi="Times New Roman"/>
              </w:rPr>
              <w:t xml:space="preserve">LANDEKODE</w:t>
            </w:r>
            <w:r>
              <w:rPr>
                <w:b/>
                <w:sz w:val="24"/>
                <w:u w:val="single"/>
                <w:rFonts w:ascii="Times New Roman" w:hAnsi="Times New Roman"/>
              </w:rPr>
              <w:t xml:space="preserve"> </w:t>
            </w:r>
          </w:p>
          <w:p w14:paraId="6D6EDCAD" w14:textId="3FF412B9"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Institutterne skal angive landekoden på to bogstaver, jf. ISO 3166-1 alpha-2.</w:t>
            </w:r>
            <w:r>
              <w:rPr>
                <w:rStyle w:val="InstructionsTabelleText"/>
                <w:sz w:val="24"/>
                <w:rFonts w:ascii="Times New Roman" w:hAnsi="Times New Roman"/>
              </w:rPr>
              <w:t xml:space="preserve">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8640" w:type="dxa"/>
          </w:tcPr>
          <w:p w14:paraId="3297BC06"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ANDEL AF BESIDDELSE (%)</w:t>
            </w:r>
          </w:p>
          <w:p w14:paraId="0214F399" w14:textId="77777777" w:rsidR="00173F08" w:rsidRPr="002A677E" w:rsidRDefault="00173F08" w:rsidP="00822842">
            <w:pPr>
              <w:rPr>
                <w:rStyle w:val="InstructionsTabelleText"/>
                <w:sz w:val="24"/>
                <w:rFonts w:ascii="Times New Roman" w:hAnsi="Times New Roman"/>
              </w:rPr>
            </w:pPr>
            <w:r>
              <w:rPr>
                <w:sz w:val="24"/>
                <w:rStyle w:val="InstructionsTabelleText"/>
                <w:rFonts w:ascii="Times New Roman" w:hAnsi="Times New Roman"/>
              </w:rPr>
              <w:t xml:space="preserve">Denne procentvise andel vedrører den faktiske andel af kapitalen, som moderselskabet har i datterselskaber.</w:t>
            </w:r>
            <w:r>
              <w:rPr>
                <w:sz w:val="24"/>
                <w:rStyle w:val="InstructionsTabelleText"/>
                <w:rFonts w:ascii="Times New Roman" w:hAnsi="Times New Roman"/>
              </w:rPr>
              <w:t xml:space="preserve"> </w:t>
            </w:r>
            <w:r>
              <w:rPr>
                <w:sz w:val="24"/>
                <w:rStyle w:val="InstructionsTabelleText"/>
                <w:rFonts w:ascii="Times New Roman" w:hAnsi="Times New Roman"/>
              </w:rPr>
              <w:t xml:space="preserve">I tilfælde af fuld konsolidering af et direkte datterselskab, er den faktiske andel f.eks. 70 %.</w:t>
            </w:r>
            <w:r>
              <w:rPr>
                <w:sz w:val="24"/>
                <w:rStyle w:val="InstructionsTabelleText"/>
                <w:rFonts w:ascii="Times New Roman" w:hAnsi="Times New Roman"/>
              </w:rPr>
              <w:t xml:space="preserve"> </w:t>
            </w:r>
            <w:r>
              <w:rPr>
                <w:sz w:val="24"/>
                <w:rFonts w:ascii="Times New Roman" w:hAnsi="Times New Roman"/>
              </w:rPr>
              <w:t xml:space="preserve">I henhold til artikel 4, stk. 1, nr. 16), i forordning (EU) nr. 575/2013 fremkommer den andel, der skal indberettes vedrørende et datterselskab, ved at multiplicere ejerandelene mellem de pågældende datterselskaber.</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0065</w:t>
            </w:r>
          </w:p>
        </w:tc>
        <w:tc>
          <w:tcPr>
            <w:tcW w:w="8640" w:type="dxa"/>
          </w:tcPr>
          <w:p w14:paraId="42EB5499" w14:textId="77777777" w:rsidR="00173F08" w:rsidRPr="002A677E" w:rsidRDefault="00173F08" w:rsidP="00822842">
            <w:pPr>
              <w:rPr>
                <w:b/>
                <w:sz w:val="24"/>
                <w:u w:val="single"/>
                <w:rFonts w:ascii="Times New Roman" w:hAnsi="Times New Roman"/>
              </w:rPr>
            </w:pPr>
            <w:r>
              <w:rPr>
                <w:b/>
                <w:sz w:val="24"/>
                <w:u w:val="single"/>
                <w:rFonts w:ascii="Times New Roman" w:hAnsi="Times New Roman"/>
              </w:rPr>
              <w:t xml:space="preserve">MODREGNINGSGRUPPE</w:t>
            </w:r>
          </w:p>
          <w:p w14:paraId="591957C8" w14:textId="77777777" w:rsidR="00173F08"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Ved "modregningsgruppe" forstås:</w:t>
            </w:r>
          </w:p>
          <w:p w14:paraId="3C498A91" w14:textId="77777777" w:rsidR="00173F08" w:rsidRPr="000F4F88" w:rsidRDefault="00173F08" w:rsidP="00173F08">
            <w:pPr>
              <w:pStyle w:val="ListParagraph"/>
              <w:numPr>
                <w:ilvl w:val="0"/>
                <w:numId w:val="3"/>
              </w:numPr>
              <w:rPr>
                <w:rStyle w:val="InstructionsTabelleText"/>
                <w:sz w:val="24"/>
                <w:rFonts w:ascii="Times New Roman" w:hAnsi="Times New Roman"/>
              </w:rPr>
            </w:pPr>
            <w:r>
              <w:rPr>
                <w:rStyle w:val="InstructionsTabelleText"/>
                <w:sz w:val="24"/>
                <w:rFonts w:ascii="Times New Roman" w:hAnsi="Times New Roman"/>
              </w:rPr>
              <w:t xml:space="preserve">en gruppe af enheder, som af den kompetente myndighed har fået tilladelse til at anvende positioner i et institut eller en virksomhed til at modregne positioner i et andet institut eller en anden virksomhed i overensstemmelse med artikel 325b i forordning (EU) nr. 575/2013</w:t>
            </w:r>
          </w:p>
          <w:p w14:paraId="6C55C0A1" w14:textId="77777777" w:rsidR="00173F08" w:rsidRPr="000059B8" w:rsidRDefault="00173F08" w:rsidP="00173F08">
            <w:pPr>
              <w:pStyle w:val="ListParagraph"/>
              <w:numPr>
                <w:ilvl w:val="0"/>
                <w:numId w:val="3"/>
              </w:numPr>
              <w:rPr>
                <w:rStyle w:val="InstructionsTabelleText"/>
                <w:b/>
                <w:bCs/>
                <w:sz w:val="24"/>
                <w:u w:val="single"/>
                <w:rFonts w:ascii="Times New Roman" w:hAnsi="Times New Roman"/>
              </w:rPr>
            </w:pPr>
            <w:r>
              <w:rPr>
                <w:rStyle w:val="InstructionsTabelleText"/>
                <w:sz w:val="24"/>
                <w:rFonts w:ascii="Times New Roman" w:hAnsi="Times New Roman"/>
              </w:rPr>
              <w:t xml:space="preserve">enhver individuel enhed, hvis positioner ikke kan modregnes positioner i en anden enhed i samme koncern, der er underlagt konsolideret tilsyn i henhold til direktiv 2013/36/EU, fordi den kompetente myndighed ikke har givet tilladelse hertil, jf. artikel 325b i nævnte forordning.</w:t>
            </w:r>
          </w:p>
          <w:p w14:paraId="30CBC62B" w14:textId="77777777" w:rsidR="00173F08" w:rsidRPr="000059B8"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Institutterne skal angive den modregningsgruppe, som hver af de i skemaet opførte enheder tilhører, hvis følgende to betingelser er opfyldt:</w:t>
            </w:r>
          </w:p>
          <w:p w14:paraId="147E25D5" w14:textId="77777777" w:rsidR="00173F08" w:rsidRPr="000059B8"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a) De beregner kapitalgrundlagskravene til de af deres forretninger, der er underlagt markedsrisiko, i overensstemmelse med tredje del, afsnit IV, kapitel 1a eller kapitel 1b, eller begge, i forordning (EU) nr. 575/2013 eller er underlagt forpligtelsen til at indberette oplysninger om kapitalgrundlagskrav, i overensstemmelse med artikel med artikel 430, stk. 2a eller 2b, i nævnte forordning.</w:t>
            </w:r>
          </w:p>
          <w:p w14:paraId="467E176C" w14:textId="77777777" w:rsidR="00173F08"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b) Den koncern, der er underlagt konsolideret tilsyn i henhold til direktiv 2013/36/EU, omfatter mindst to modregningsgrupper.</w:t>
            </w:r>
          </w:p>
          <w:p w14:paraId="6E55692B" w14:textId="77777777" w:rsidR="00173F08"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I denne kolonne indberettes værdierne "Modregningsgruppe 1", "Modregningsgruppe 2", osv.</w:t>
            </w:r>
            <w:r>
              <w:rPr>
                <w:rStyle w:val="InstructionsTabelleText"/>
                <w:sz w:val="24"/>
                <w:rFonts w:ascii="Times New Roman" w:hAnsi="Times New Roman"/>
              </w:rPr>
              <w:t xml:space="preserve"> </w:t>
            </w:r>
            <w:r>
              <w:rPr>
                <w:rStyle w:val="InstructionsTabelleText"/>
                <w:sz w:val="24"/>
                <w:rFonts w:ascii="Times New Roman" w:hAnsi="Times New Roman"/>
              </w:rPr>
              <w:t xml:space="preserve">Sammenkoblingen af de juridiske enheder og modregningsgrupperne skal være konsistent over tid, konsistent på tværs af indberetninger for den pågældende koncern, der er underlagt konsolideret tilsyn, og forenelig med oplysningerne om modregningsgrupperne i skemaerne i </w:t>
            </w:r>
            <w:r>
              <w:rPr>
                <w:rStyle w:val="InstructionsTabelleText"/>
                <w:sz w:val="24"/>
                <w:highlight w:val="yellow"/>
                <w:rFonts w:ascii="Times New Roman" w:hAnsi="Times New Roman"/>
              </w:rPr>
              <w:t xml:space="preserve">[bilag I til forordning (EU) 2021/453</w:t>
            </w:r>
            <w:r>
              <w:rPr>
                <w:rStyle w:val="InstructionsTabelleText"/>
                <w:sz w:val="24"/>
                <w:rFonts w:ascii="Times New Roman" w:hAnsi="Times New Roman"/>
              </w:rPr>
              <w:t xml:space="preserve">].</w:t>
            </w:r>
          </w:p>
          <w:p w14:paraId="5DB075C7"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Hvis instituttet opfylder den ovenfor specificerede betingelse a), og den koncern, der er underlagt konsolideret tilsyn i henhold til direktiv 2013/36/EU, blot omfatter en enkelt modregningsgruppe, skal institutterne angive "Én modregningsgruppe" i den række i skemaet, der svarer til moderselskabet.</w:t>
            </w:r>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0070-0240</w:t>
            </w:r>
          </w:p>
        </w:tc>
        <w:tc>
          <w:tcPr>
            <w:tcW w:w="8640" w:type="dxa"/>
          </w:tcPr>
          <w:p w14:paraId="0274B016"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OPLYSNINGER OM ENHEDER OMFATTET AF KAPITALGRUNDLAGSKRAV</w:t>
            </w:r>
          </w:p>
          <w:p w14:paraId="5193F4B6" w14:textId="77777777" w:rsidR="00173F08" w:rsidRPr="002A677E" w:rsidRDefault="00173F08" w:rsidP="00822842">
            <w:pPr>
              <w:rPr>
                <w:rStyle w:val="InstructionsTabelleText"/>
                <w:sz w:val="24"/>
                <w:rFonts w:ascii="Times New Roman" w:hAnsi="Times New Roman"/>
              </w:rPr>
            </w:pPr>
            <w:r>
              <w:rPr>
                <w:sz w:val="24"/>
                <w:rStyle w:val="InstructionsTabelleText"/>
                <w:rFonts w:ascii="Times New Roman" w:hAnsi="Times New Roman"/>
              </w:rPr>
              <w:t xml:space="preserve">I dette punkt med detaljerede oplysninger (dvs. kolonne 0070 til 0240) indsamles der kun oplysninger om de enheder og delkoncerner, som rent faktisk, idet de er omfattet af konsolidering (</w:t>
            </w:r>
            <w:r>
              <w:rPr>
                <w:sz w:val="24"/>
                <w:rFonts w:ascii="Times New Roman" w:hAnsi="Times New Roman"/>
              </w:rPr>
              <w:t xml:space="preserve">første del, afsnit II, kapitel 2, i forordning (EU) nr. 575/2013</w:t>
            </w:r>
            <w:r>
              <w:rPr>
                <w:sz w:val="24"/>
                <w:rStyle w:val="InstructionsTabelleText"/>
                <w:rFonts w:ascii="Times New Roman" w:hAnsi="Times New Roman"/>
              </w:rPr>
              <w:t xml:space="preserve">), er underlagt solvenskrav i forordning (EU) nr. 575/2013 eller bestemmelser, der mindst svarer til Baselbestemmelserne (dvs. JA er indberettet i kolonne 0030).</w:t>
            </w:r>
            <w:r>
              <w:rPr>
                <w:sz w:val="24"/>
                <w:rStyle w:val="InstructionsTabelleText"/>
                <w:rFonts w:ascii="Times New Roman" w:hAnsi="Times New Roman"/>
              </w:rPr>
              <w:t xml:space="preserve"> </w:t>
            </w:r>
          </w:p>
          <w:p w14:paraId="341FD737" w14:textId="77777777" w:rsidR="00173F08" w:rsidRPr="002A677E" w:rsidRDefault="00173F08" w:rsidP="00822842">
            <w:pPr>
              <w:rPr>
                <w:sz w:val="24"/>
                <w:rFonts w:ascii="Times New Roman" w:hAnsi="Times New Roman"/>
              </w:rPr>
            </w:pPr>
            <w:r>
              <w:rPr>
                <w:sz w:val="24"/>
                <w:rFonts w:ascii="Times New Roman" w:hAnsi="Times New Roman"/>
              </w:rPr>
              <w:t xml:space="preserve">Der skal indberettes oplysninger om alle individuelle institutter i en konsolideret koncern, der er omfattet af kapitalgrundlagskrav, uanset hvor de er beliggende.</w:t>
            </w:r>
            <w:r>
              <w:rPr>
                <w:sz w:val="24"/>
                <w:rFonts w:ascii="Times New Roman" w:hAnsi="Times New Roman"/>
              </w:rPr>
              <w:t xml:space="preserve"> </w:t>
            </w:r>
          </w:p>
          <w:p w14:paraId="44903571" w14:textId="77777777" w:rsidR="00173F08" w:rsidRPr="002A677E" w:rsidRDefault="00173F08" w:rsidP="00822842">
            <w:pPr>
              <w:rPr>
                <w:sz w:val="24"/>
                <w:rFonts w:ascii="Times New Roman" w:hAnsi="Times New Roman"/>
              </w:rPr>
            </w:pPr>
            <w:r>
              <w:rPr>
                <w:sz w:val="24"/>
                <w:rFonts w:ascii="Times New Roman" w:hAnsi="Times New Roman"/>
              </w:rPr>
              <w:t xml:space="preserve">De oplysninger, der indberettes i denne del, skal afspejle de lokale solvensregler i den jurisdiktion, hvor instituttet driver virksomhed (til dette skema er det derfor ikke nødvendigt at foretage dobbelt beregning på individuelt grundlag i henhold til moderinstituttets regler).</w:t>
            </w:r>
            <w:r>
              <w:rPr>
                <w:sz w:val="24"/>
                <w:rFonts w:ascii="Times New Roman" w:hAnsi="Times New Roman"/>
              </w:rPr>
              <w:t xml:space="preserve"> </w:t>
            </w:r>
            <w:r>
              <w:rPr>
                <w:sz w:val="24"/>
                <w:rFonts w:ascii="Times New Roman" w:hAnsi="Times New Roman"/>
              </w:rPr>
              <w:t xml:space="preserve">Når de lokale solvensregler adskiller sig fra forordning (EU) nr. 575/2013, og der ikke gives en sammenlignelig opdeling, angives oplysningerne det sted, hvor der foreligger data i den pågældende granulering.</w:t>
            </w:r>
            <w:r>
              <w:rPr>
                <w:sz w:val="24"/>
                <w:rFonts w:ascii="Times New Roman" w:hAnsi="Times New Roman"/>
              </w:rPr>
              <w:t xml:space="preserve"> </w:t>
            </w:r>
            <w:r>
              <w:rPr>
                <w:sz w:val="24"/>
                <w:rFonts w:ascii="Times New Roman" w:hAnsi="Times New Roman"/>
              </w:rPr>
              <w:t xml:space="preserve">Denne del er derfor et faktuelt skema, der opsummerer de beregninger, som de individuelle institutter i en koncern skal foretage, idet det understreges, at nogle af institutterne kan være underlagt forskellige solvensregler.</w:t>
            </w:r>
          </w:p>
          <w:p w14:paraId="6B5F0F6F" w14:textId="77777777" w:rsidR="00173F08" w:rsidRPr="002A677E" w:rsidRDefault="00173F08" w:rsidP="00822842">
            <w:pPr>
              <w:rPr>
                <w:rStyle w:val="InstructionsTabelleText"/>
                <w:b/>
                <w:sz w:val="24"/>
                <w:u w:val="single"/>
                <w:rFonts w:ascii="Times New Roman" w:hAnsi="Times New Roman"/>
              </w:rPr>
            </w:pPr>
            <w:r>
              <w:rPr>
                <w:rStyle w:val="InstructionsTabelleText"/>
                <w:b/>
                <w:sz w:val="24"/>
                <w:u w:val="single"/>
                <w:rFonts w:ascii="Times New Roman" w:hAnsi="Times New Roman"/>
              </w:rPr>
              <w:t xml:space="preserve">Indberetning af investeringsselskabers faste omkostninger:</w:t>
            </w:r>
          </w:p>
          <w:p w14:paraId="38DFF7EE" w14:textId="77777777" w:rsidR="00173F08" w:rsidRPr="002A677E" w:rsidRDefault="00173F08" w:rsidP="00822842">
            <w:pPr>
              <w:autoSpaceDE w:val="0"/>
              <w:autoSpaceDN w:val="0"/>
              <w:adjustRightInd w:val="0"/>
              <w:spacing w:after="0"/>
              <w:rPr>
                <w:rStyle w:val="InstructionsTabelleText"/>
                <w:sz w:val="24"/>
                <w:rFonts w:ascii="Times New Roman" w:hAnsi="Times New Roman"/>
              </w:rPr>
            </w:pPr>
            <w:r>
              <w:rPr>
                <w:sz w:val="24"/>
                <w:rFonts w:ascii="Times New Roman" w:hAnsi="Times New Roman"/>
              </w:rPr>
              <w:t xml:space="preserve">Investeringsselskaber skal medtage kapitalgrundlagskrav vedrørende faste omkostninger i deres beregning af kapitalprocent i henhold til artikel 95-98 i forordning (EU) nr. 575/2013.</w:t>
            </w:r>
          </w:p>
          <w:p w14:paraId="033740CD" w14:textId="77777777" w:rsidR="00173F08" w:rsidRPr="002A677E" w:rsidRDefault="00173F08" w:rsidP="00822842">
            <w:pPr>
              <w:autoSpaceDE w:val="0"/>
              <w:autoSpaceDN w:val="0"/>
              <w:adjustRightInd w:val="0"/>
              <w:spacing w:after="0"/>
              <w:rPr>
                <w:rStyle w:val="InstructionsTabelleText"/>
                <w:sz w:val="24"/>
                <w:rFonts w:ascii="Times New Roman" w:hAnsi="Times New Roman"/>
              </w:rPr>
            </w:pPr>
            <w:r>
              <w:rPr>
                <w:rStyle w:val="InstructionsTabelleText"/>
                <w:sz w:val="24"/>
                <w:rFonts w:ascii="Times New Roman" w:hAnsi="Times New Roman"/>
              </w:rPr>
              <w:t xml:space="preserve">Den del af den samlede risikoeksponering, der vedrører faste omkostninger, indberettes i kolonne 0100 i dette skema.</w:t>
            </w:r>
            <w:r>
              <w:rPr>
                <w:rStyle w:val="InstructionsTabelleText"/>
                <w:sz w:val="24"/>
                <w:rFonts w:ascii="Times New Roman" w:hAnsi="Times New Roman"/>
              </w:rPr>
              <w:t xml:space="preserve"> </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0070</w:t>
            </w:r>
          </w:p>
        </w:tc>
        <w:tc>
          <w:tcPr>
            <w:tcW w:w="8640" w:type="dxa"/>
          </w:tcPr>
          <w:p w14:paraId="1A22FB2A"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SAMLET RISIKOEKSPONERING</w:t>
            </w:r>
            <w:r>
              <w:rPr>
                <w:rStyle w:val="InstructionsTabelleberschrift"/>
                <w:sz w:val="24"/>
                <w:rFonts w:ascii="Times New Roman" w:hAnsi="Times New Roman"/>
              </w:rPr>
              <w:t xml:space="preserve"> </w:t>
            </w:r>
          </w:p>
          <w:p w14:paraId="4B0A4350"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Summen af kolonne 0080 til 0110 indberettes.</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0075</w:t>
            </w:r>
          </w:p>
        </w:tc>
        <w:tc>
          <w:tcPr>
            <w:tcW w:w="8640" w:type="dxa"/>
          </w:tcPr>
          <w:p w14:paraId="78E93AAA" w14:textId="77777777" w:rsidR="00173F08"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HERAF:</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JUSTERING AF GULV (OUTPUTGULV FOR TREA)</w:t>
            </w:r>
          </w:p>
          <w:p w14:paraId="267C9374" w14:textId="77777777" w:rsidR="00173F08" w:rsidRPr="00601EA3" w:rsidRDefault="00173F08" w:rsidP="00822842">
            <w:pPr>
              <w:rPr>
                <w:rStyle w:val="InstructionsTabelleberschrift"/>
                <w:b w:val="0"/>
                <w:bCs w:val="0"/>
                <w:sz w:val="24"/>
                <w:rFonts w:ascii="Times New Roman" w:hAnsi="Times New Roman"/>
              </w:rPr>
            </w:pPr>
            <w:r>
              <w:rPr>
                <w:rStyle w:val="InstructionsTabelleberschrift"/>
                <w:b w:val="0"/>
                <w:sz w:val="24"/>
                <w:rFonts w:ascii="Times New Roman" w:hAnsi="Times New Roman"/>
              </w:rPr>
              <w:t xml:space="preserve">Enheder skal indberette justeringen af gulvet ved beregning på individuelt grundlag.</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0080</w:t>
            </w:r>
          </w:p>
        </w:tc>
        <w:tc>
          <w:tcPr>
            <w:tcW w:w="8640" w:type="dxa"/>
          </w:tcPr>
          <w:p w14:paraId="7FCBE592"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KREDIT;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MODPARTSRISIKO;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UDVANDINGSRISIKO, LEVERINGSRISIKO (FREE DELIVERIES) OG AFVIKLINGS-/LEVERINGSRISIKO</w:t>
            </w:r>
          </w:p>
          <w:p w14:paraId="4C32FDA3" w14:textId="77777777" w:rsidR="00173F08" w:rsidRPr="002A677E" w:rsidRDefault="00173F08" w:rsidP="00822842">
            <w:pPr>
              <w:rPr>
                <w:rStyle w:val="InstructionsTabelleText"/>
                <w:sz w:val="24"/>
                <w:rFonts w:ascii="Times New Roman" w:hAnsi="Times New Roman"/>
              </w:rPr>
            </w:pPr>
            <w:r>
              <w:rPr>
                <w:sz w:val="24"/>
                <w:rStyle w:val="InstructionsTabelleText"/>
                <w:rFonts w:ascii="Times New Roman" w:hAnsi="Times New Roman"/>
              </w:rPr>
              <w:t xml:space="preserve">Det beløb, der indberettes i denne kolonne, svarer til summen af risikovægtede eksponeringer, som er lig med eller svarer til dem, der indberettes i række 0040 "</w:t>
            </w:r>
            <w:r>
              <w:rPr>
                <w:sz w:val="24"/>
                <w:rStyle w:val="InstructionsTabelleberschrift"/>
                <w:rFonts w:ascii="Times New Roman" w:hAnsi="Times New Roman"/>
              </w:rPr>
              <w:t xml:space="preserve">RISIKOVÆGTEDE EKSPONERINGER</w:t>
            </w:r>
            <w:r>
              <w:rPr>
                <w:sz w:val="24"/>
                <w:rFonts w:ascii="Times New Roman" w:hAnsi="Times New Roman"/>
              </w:rPr>
              <w:t xml:space="preserve"> </w:t>
            </w:r>
            <w:r>
              <w:rPr>
                <w:sz w:val="24"/>
                <w:rStyle w:val="InstructionsTabelleText"/>
                <w:rFonts w:ascii="Times New Roman" w:hAnsi="Times New Roman"/>
              </w:rPr>
              <w:t xml:space="preserve">FOR KREDITRISIKO, MODPARTSRISIKO, UDVANDINGSRISIKO OG LEVERINGSRISIKO (FREE DELIVERIES)", og beløbene for kapitalgrundlagskrav, som er lig med eller svarer til dem, der indberettes i række 0490 "SAMLET RISIKOEKSPONERING FOR AFVIKLINGSRISIKO/LEVERINGSRISIKO" i skema CA2.</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0090</w:t>
            </w:r>
          </w:p>
        </w:tc>
        <w:tc>
          <w:tcPr>
            <w:tcW w:w="8640" w:type="dxa"/>
          </w:tcPr>
          <w:p w14:paraId="1F8CDF0D" w14:textId="117F25BE"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MARKEDSRISICI</w:t>
            </w:r>
          </w:p>
          <w:p w14:paraId="7A55CAD7" w14:textId="55D7980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Det beløb, der skal indberettes i denne kolonne, svarer til beløbet for kapitalgrundlagskrav, som er lig med eller svarer til dem, der indberettes i række 0520 "SAMLET RISIKOEKSPONERING FOR DEN FORRETNING, DER ER UNDERLAGT MARKEDSRISIKO" i skema CA2.</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0100</w:t>
            </w:r>
          </w:p>
        </w:tc>
        <w:tc>
          <w:tcPr>
            <w:tcW w:w="8640" w:type="dxa"/>
          </w:tcPr>
          <w:p w14:paraId="47EDEC82"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OPERATIONEL RISIKO</w:t>
            </w:r>
          </w:p>
          <w:p w14:paraId="0D971CE8"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Det beløb, der skal indberettes i denne kolonne, svarer til den risikoeksponering, som er lig med eller svarer til dem, der indberettes i række 0590 "SAMLET RISIKOEKSPONERING FOR OPERATIONELLE RISICI (OpR)" i skema CA2.</w:t>
            </w:r>
          </w:p>
          <w:p w14:paraId="793CB669"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Faste omkostninger medtages i denne kolonne, herunder række 0630 "YDERLIGERE RISIKOEKSPONERING SOM FØLGE AF FASTE OMKOSTNINGER" i skema CA2.</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0110</w:t>
            </w:r>
          </w:p>
        </w:tc>
        <w:tc>
          <w:tcPr>
            <w:tcW w:w="8640" w:type="dxa"/>
          </w:tcPr>
          <w:p w14:paraId="5A6EE0BF"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ANDRE RISIKOEKSPONERINGER</w:t>
            </w:r>
          </w:p>
          <w:p w14:paraId="6AB0F2D9"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Det beløb, der skal indberettes i denne kolonne, svarer til den risikoeksponering, der ikke specifikt er anført ovenfor.</w:t>
            </w:r>
            <w:r>
              <w:rPr>
                <w:rStyle w:val="InstructionsTabelleText"/>
                <w:sz w:val="24"/>
                <w:rFonts w:ascii="Times New Roman" w:hAnsi="Times New Roman"/>
              </w:rPr>
              <w:t xml:space="preserve"> </w:t>
            </w:r>
            <w:r>
              <w:rPr>
                <w:rStyle w:val="InstructionsTabelleText"/>
                <w:sz w:val="24"/>
                <w:rFonts w:ascii="Times New Roman" w:hAnsi="Times New Roman"/>
              </w:rPr>
              <w:t xml:space="preserve">Det er summen af beløbene i række 0640, 0680 og 0690 i skema CA2.</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0120-0240</w:t>
            </w:r>
          </w:p>
        </w:tc>
        <w:tc>
          <w:tcPr>
            <w:tcW w:w="8640" w:type="dxa"/>
          </w:tcPr>
          <w:p w14:paraId="4017EF14"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DETALJEREDE OPLYSNINGER OM KAPITALGRUNDLAG FOR KONCERNSOLVENS</w:t>
            </w:r>
          </w:p>
          <w:p w14:paraId="713BB53E"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De oplysninger, der indberettes i følgende kolonner, skal afspejle de lokale solvensregler i den medlemsstat, hvor enheden eller delkoncernen driver virksomhed.</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0120</w:t>
            </w:r>
          </w:p>
        </w:tc>
        <w:tc>
          <w:tcPr>
            <w:tcW w:w="8640" w:type="dxa"/>
          </w:tcPr>
          <w:p w14:paraId="5B6BE8DD"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KAPITALGRUNDLAG</w:t>
            </w:r>
          </w:p>
          <w:p w14:paraId="55D150C2"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Det beløb, der skal indberettes i denne kolonne, svarer til det kapitalgrundlag, som er lig med eller svarer til det beløb, der indberettes i række 0010 "KAPITALGRUNDLAG" i skema CA1.</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0130</w:t>
            </w:r>
          </w:p>
        </w:tc>
        <w:tc>
          <w:tcPr>
            <w:tcW w:w="8640" w:type="dxa"/>
          </w:tcPr>
          <w:p w14:paraId="33EA093E"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HERAF: KVALIFICERENDE KAPITALGRUNDLAG</w:t>
            </w:r>
            <w:r>
              <w:rPr>
                <w:rStyle w:val="InstructionsTabelleberschrift"/>
                <w:sz w:val="24"/>
                <w:rFonts w:ascii="Times New Roman" w:hAnsi="Times New Roman"/>
              </w:rPr>
              <w:t xml:space="preserve"> </w:t>
            </w:r>
          </w:p>
          <w:p w14:paraId="34714CBE"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Artikel 82 i forordning (EU) nr. 575/2013</w:t>
            </w:r>
            <w:r>
              <w:rPr>
                <w:sz w:val="24"/>
                <w:rFonts w:ascii="Times New Roman" w:hAnsi="Times New Roman"/>
              </w:rPr>
              <w:t xml:space="preserve"> </w:t>
            </w:r>
          </w:p>
          <w:p w14:paraId="7999D7DB"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Denne kolonne udfyldes kun for datterselskaber, som indberettes individuelt, som er fuldt konsoliderede, og som er institutter.</w:t>
            </w:r>
            <w:r>
              <w:rPr>
                <w:rStyle w:val="InstructionsTabelleText"/>
                <w:sz w:val="24"/>
                <w:rFonts w:ascii="Times New Roman" w:hAnsi="Times New Roman"/>
              </w:rPr>
              <w:t xml:space="preserve"> </w:t>
            </w:r>
          </w:p>
          <w:p w14:paraId="1DFAEDAA"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Kvalificerende besiddelser er for ovennævnte datterselskaber instrumenter (plus tilknyttet overført resultat, overkurs ved emission og andre reserver), som ejes af andre personer end virksomhederne, og som indgår i konsolideringen efter forordning (EU) nr. 575/2013.</w:t>
            </w:r>
          </w:p>
          <w:p w14:paraId="3E7C4509"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Det indberettede beløb skal indbefatte virkningerne af evt. overgangsbestemmelser.</w:t>
            </w:r>
            <w:r>
              <w:rPr>
                <w:rStyle w:val="InstructionsTabelleText"/>
                <w:sz w:val="24"/>
                <w:rFonts w:ascii="Times New Roman" w:hAnsi="Times New Roman"/>
              </w:rPr>
              <w:t xml:space="preserve"> </w:t>
            </w:r>
            <w:r>
              <w:rPr>
                <w:rStyle w:val="InstructionsTabelleText"/>
                <w:sz w:val="24"/>
                <w:rFonts w:ascii="Times New Roman" w:hAnsi="Times New Roman"/>
              </w:rPr>
              <w:t xml:space="preserve">Det skal være det gældende beløb på indberetningsdatoen.</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0140</w:t>
            </w:r>
          </w:p>
        </w:tc>
        <w:tc>
          <w:tcPr>
            <w:tcW w:w="8640" w:type="dxa"/>
          </w:tcPr>
          <w:p w14:paraId="24287788" w14:textId="77777777" w:rsidR="00173F08" w:rsidRPr="002A677E" w:rsidRDefault="00173F08" w:rsidP="00822842">
            <w:pPr>
              <w:rPr>
                <w:rStyle w:val="InstructionsTabelleberschrift"/>
                <w:b w:val="0"/>
                <w:sz w:val="24"/>
                <w:rFonts w:ascii="Times New Roman" w:hAnsi="Times New Roman"/>
              </w:rPr>
            </w:pPr>
            <w:r>
              <w:rPr>
                <w:rStyle w:val="InstructionsTabelleberschrift"/>
                <w:sz w:val="24"/>
                <w:rFonts w:ascii="Times New Roman" w:hAnsi="Times New Roman"/>
              </w:rPr>
              <w:t xml:space="preserve">RELATEREDE KAPITALGRUNDLAGSINSTRUMENTER, TILKNYTTET OVERFØRT RESULTAT, OVERKURS VED EMISSION OG ANDRE RESERVER</w:t>
            </w:r>
          </w:p>
          <w:p w14:paraId="3F7E53C7" w14:textId="77777777" w:rsidR="00173F08" w:rsidRPr="002A677E" w:rsidRDefault="00173F08" w:rsidP="00822842">
            <w:pPr>
              <w:rPr>
                <w:rStyle w:val="InstructionsTabelleberschrift"/>
                <w:b w:val="0"/>
                <w:sz w:val="24"/>
                <w:rFonts w:ascii="Times New Roman" w:hAnsi="Times New Roman"/>
              </w:rPr>
            </w:pPr>
            <w:r>
              <w:rPr>
                <w:sz w:val="24"/>
                <w:rStyle w:val="InstructionsTabelleberschrift"/>
                <w:rFonts w:ascii="Times New Roman" w:hAnsi="Times New Roman"/>
              </w:rPr>
              <w:t xml:space="preserve">Artikel 87, stk. 1, litra b),</w:t>
            </w:r>
            <w:r>
              <w:rPr>
                <w:sz w:val="24"/>
                <w:rFonts w:ascii="Times New Roman" w:hAnsi="Times New Roman"/>
              </w:rPr>
              <w:t xml:space="preserve"> i forordning (EU) nr. 575/2013</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0150</w:t>
            </w:r>
          </w:p>
        </w:tc>
        <w:tc>
          <w:tcPr>
            <w:tcW w:w="8640" w:type="dxa"/>
          </w:tcPr>
          <w:p w14:paraId="5CD3A5A2" w14:textId="77777777" w:rsidR="00173F08" w:rsidRPr="001235ED"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KERNEKAPITAL I ALT</w:t>
            </w:r>
          </w:p>
          <w:p w14:paraId="3E861344" w14:textId="77777777" w:rsidR="00173F08" w:rsidRPr="001235ED" w:rsidRDefault="00173F08" w:rsidP="00822842">
            <w:pPr>
              <w:rPr>
                <w:rStyle w:val="InstructionsTabelleberschrift"/>
                <w:sz w:val="24"/>
                <w:rFonts w:ascii="Times New Roman" w:hAnsi="Times New Roman"/>
              </w:rPr>
            </w:pPr>
            <w:r>
              <w:rPr>
                <w:sz w:val="24"/>
                <w:rFonts w:ascii="Times New Roman" w:hAnsi="Times New Roman"/>
              </w:rPr>
              <w:t xml:space="preserve">Artikel 25 i forordning (EU) nr. 575/2013</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0160</w:t>
            </w:r>
          </w:p>
        </w:tc>
        <w:tc>
          <w:tcPr>
            <w:tcW w:w="8640" w:type="dxa"/>
          </w:tcPr>
          <w:p w14:paraId="72C37050"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HERAF:</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KVALIFICERENDE KERNEKAPITAL</w:t>
            </w:r>
          </w:p>
          <w:p w14:paraId="4EB8A1F3"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Artikel 82 i forordning (EU) nr. 575/2013</w:t>
            </w:r>
          </w:p>
          <w:p w14:paraId="1C29CEE8"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Denne kolonne udfyldes kun for datterselskaber, som indberettes individuelt, som er fuldt konsoliderede, og som er institutter.</w:t>
            </w:r>
          </w:p>
          <w:p w14:paraId="0AF355C7"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Kvalificerende besiddelser er for ovennævnte datterselskaber instrumenter (plus tilknyttet overført resultat og overkurs ved emission), som ejes af andre personer end de virksomheder, som indgår i konsolideringen efter forordning (EU) nr. 575/2013.</w:t>
            </w:r>
          </w:p>
          <w:p w14:paraId="342E6F50"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Det indberettede beløb skal indbefatte virkningerne af evt. overgangsbestemmelser.</w:t>
            </w:r>
            <w:r>
              <w:rPr>
                <w:rStyle w:val="InstructionsTabelleText"/>
                <w:sz w:val="24"/>
                <w:rFonts w:ascii="Times New Roman" w:hAnsi="Times New Roman"/>
              </w:rPr>
              <w:t xml:space="preserve"> </w:t>
            </w:r>
            <w:r>
              <w:rPr>
                <w:rStyle w:val="InstructionsTabelleText"/>
                <w:sz w:val="24"/>
                <w:rFonts w:ascii="Times New Roman" w:hAnsi="Times New Roman"/>
              </w:rPr>
              <w:t xml:space="preserve">Det skal være det gældende beløb på indberetningsdatoen.</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0170</w:t>
            </w:r>
          </w:p>
        </w:tc>
        <w:tc>
          <w:tcPr>
            <w:tcW w:w="8640" w:type="dxa"/>
          </w:tcPr>
          <w:p w14:paraId="03B9DCA4" w14:textId="77777777" w:rsidR="00173F08" w:rsidRPr="002A677E" w:rsidRDefault="00173F08" w:rsidP="00822842">
            <w:pPr>
              <w:rPr>
                <w:rStyle w:val="InstructionsTabelleberschrift"/>
                <w:b w:val="0"/>
                <w:sz w:val="24"/>
                <w:rFonts w:ascii="Times New Roman" w:hAnsi="Times New Roman"/>
              </w:rPr>
            </w:pPr>
            <w:r>
              <w:rPr>
                <w:rStyle w:val="InstructionsTabelleberschrift"/>
                <w:sz w:val="24"/>
                <w:rFonts w:ascii="Times New Roman" w:hAnsi="Times New Roman"/>
              </w:rPr>
              <w:t xml:space="preserve">RELATEREDE KERNEKAPITALINSTRUMENTER, TILKNYTTET OVERFØRT RESULTAT OG OVERKURS VED EMISSION</w:t>
            </w:r>
          </w:p>
          <w:p w14:paraId="0C524078" w14:textId="77777777" w:rsidR="00173F08" w:rsidRPr="002A677E" w:rsidRDefault="00173F08" w:rsidP="00822842">
            <w:pPr>
              <w:rPr>
                <w:rStyle w:val="InstructionsTabelleberschrift"/>
                <w:sz w:val="24"/>
                <w:rFonts w:ascii="Times New Roman" w:hAnsi="Times New Roman"/>
              </w:rPr>
            </w:pPr>
            <w:r>
              <w:rPr>
                <w:sz w:val="24"/>
                <w:rStyle w:val="InstructionsTabelleberschrift"/>
                <w:rFonts w:ascii="Times New Roman" w:hAnsi="Times New Roman"/>
              </w:rPr>
              <w:t xml:space="preserve">Artikel 85, stk. 1, litra b),</w:t>
            </w:r>
            <w:r>
              <w:rPr>
                <w:sz w:val="24"/>
                <w:rFonts w:ascii="Times New Roman" w:hAnsi="Times New Roman"/>
              </w:rPr>
              <w:t xml:space="preserve"> i forordning (EU) nr. 575/2013</w:t>
            </w:r>
            <w:r>
              <w:rPr>
                <w:sz w:val="24"/>
                <w:rFonts w:ascii="Times New Roman" w:hAnsi="Times New Roman"/>
              </w:rPr>
              <w:t xml:space="preserve"> </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0180</w:t>
            </w:r>
          </w:p>
        </w:tc>
        <w:tc>
          <w:tcPr>
            <w:tcW w:w="8640" w:type="dxa"/>
          </w:tcPr>
          <w:p w14:paraId="56913F2B"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EGENTLIG KERNEKAPITAL</w:t>
            </w:r>
          </w:p>
          <w:p w14:paraId="1D31362E" w14:textId="77777777" w:rsidR="00173F08" w:rsidRPr="002A677E" w:rsidRDefault="00173F08" w:rsidP="00822842">
            <w:pPr>
              <w:rPr>
                <w:rStyle w:val="InstructionsTabelleberschrift"/>
                <w:sz w:val="24"/>
                <w:rFonts w:ascii="Times New Roman" w:hAnsi="Times New Roman"/>
              </w:rPr>
            </w:pPr>
            <w:r>
              <w:rPr>
                <w:sz w:val="24"/>
                <w:rFonts w:ascii="Times New Roman" w:hAnsi="Times New Roman"/>
              </w:rPr>
              <w:t xml:space="preserve">Artikel 50 i forordning (EU) nr. 575/2013</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0190</w:t>
            </w:r>
          </w:p>
        </w:tc>
        <w:tc>
          <w:tcPr>
            <w:tcW w:w="8640" w:type="dxa"/>
          </w:tcPr>
          <w:p w14:paraId="7B6598C9"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HERAF: MINORITETSINTERESSER</w:t>
            </w:r>
          </w:p>
          <w:p w14:paraId="03A35E0B"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Artikel 81 i forordning (EU) nr. 575/2013</w:t>
            </w:r>
          </w:p>
          <w:p w14:paraId="2D5B8BC3"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Denne kolonne udfyldes kun for fuldt konsoliderede datterselskaber, der er institutter, med undtagelse af datterselskaber, der er omhandlet i artikel 84, stk. 3, i forordning (EU) nr. 575/2013.</w:t>
            </w:r>
            <w:r>
              <w:rPr>
                <w:sz w:val="24"/>
                <w:rStyle w:val="InstructionsTabelleText"/>
                <w:rFonts w:ascii="Times New Roman" w:hAnsi="Times New Roman"/>
              </w:rPr>
              <w:t xml:space="preserve"> </w:t>
            </w:r>
            <w:r>
              <w:rPr>
                <w:sz w:val="24"/>
                <w:rFonts w:ascii="Times New Roman" w:hAnsi="Times New Roman"/>
              </w:rPr>
              <w:t xml:space="preserve">I alle de beregninger, der kræves i medfør af artikel 84 i forordning (EU) nr. 575/2013, indgår hvert datterselskab på delkonsolideret grundlag, hvis det er relevant i henhold til artikel 84, stk. 2, og ellers på individuelt grundlag.</w:t>
            </w:r>
          </w:p>
          <w:p w14:paraId="2C0D816C"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Minoritetsinteresser er for ovennævnte datterselskaber egentlige kernekapitalinstrumenter (plus tilknyttet overført resultat og overkurs ved emission), som ejes af andre personer end de virksomheder, som indgår i konsolideringen efter forordning (EU) nr. 575/2013.</w:t>
            </w:r>
          </w:p>
          <w:p w14:paraId="1D2ACDF3"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Det indberettede beløb skal indbefatte virkningerne af evt. overgangsbestemmelser.</w:t>
            </w:r>
            <w:r>
              <w:rPr>
                <w:rStyle w:val="InstructionsTabelleText"/>
                <w:sz w:val="24"/>
                <w:rFonts w:ascii="Times New Roman" w:hAnsi="Times New Roman"/>
              </w:rPr>
              <w:t xml:space="preserve"> </w:t>
            </w:r>
            <w:r>
              <w:rPr>
                <w:rStyle w:val="InstructionsTabelleText"/>
                <w:sz w:val="24"/>
                <w:rFonts w:ascii="Times New Roman" w:hAnsi="Times New Roman"/>
              </w:rPr>
              <w:t xml:space="preserve">Det skal være det gældende beløb på indberetningsdatoen.</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0200</w:t>
            </w:r>
          </w:p>
        </w:tc>
        <w:tc>
          <w:tcPr>
            <w:tcW w:w="8640" w:type="dxa"/>
          </w:tcPr>
          <w:p w14:paraId="4B6EB0AE" w14:textId="77777777" w:rsidR="00173F08" w:rsidRPr="002A677E" w:rsidRDefault="00173F08" w:rsidP="00822842">
            <w:pPr>
              <w:rPr>
                <w:rStyle w:val="InstructionsTabelleberschrift"/>
                <w:b w:val="0"/>
                <w:sz w:val="24"/>
                <w:rFonts w:ascii="Times New Roman" w:hAnsi="Times New Roman"/>
              </w:rPr>
            </w:pPr>
            <w:r>
              <w:rPr>
                <w:rStyle w:val="InstructionsTabelleberschrift"/>
                <w:sz w:val="24"/>
                <w:rFonts w:ascii="Times New Roman" w:hAnsi="Times New Roman"/>
              </w:rPr>
              <w:t xml:space="preserve">RELATEREDE KAPITALGRUNDLAGSINSTRUMENTER, TILKNYTTET OVERFØRT RESULTAT, OVERKURS VED EMISSION OG ANDRE RESERVER</w:t>
            </w:r>
          </w:p>
          <w:p w14:paraId="707CE464" w14:textId="77777777" w:rsidR="00173F08" w:rsidRPr="002A677E" w:rsidRDefault="00173F08" w:rsidP="00822842">
            <w:pPr>
              <w:rPr>
                <w:rStyle w:val="InstructionsTabelleberschrift"/>
                <w:b w:val="0"/>
                <w:sz w:val="24"/>
                <w:rFonts w:ascii="Times New Roman" w:hAnsi="Times New Roman"/>
              </w:rPr>
            </w:pPr>
            <w:r>
              <w:rPr>
                <w:sz w:val="24"/>
                <w:rStyle w:val="InstructionsTabelleberschrift"/>
                <w:rFonts w:ascii="Times New Roman" w:hAnsi="Times New Roman"/>
              </w:rPr>
              <w:t xml:space="preserve">Artikel 84, stk. 1, litra b),</w:t>
            </w:r>
            <w:r>
              <w:rPr>
                <w:sz w:val="24"/>
                <w:rFonts w:ascii="Times New Roman" w:hAnsi="Times New Roman"/>
              </w:rPr>
              <w:t xml:space="preserve"> i forordning (EU) nr. 575/2013</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0210</w:t>
            </w:r>
          </w:p>
        </w:tc>
        <w:tc>
          <w:tcPr>
            <w:tcW w:w="8640" w:type="dxa"/>
          </w:tcPr>
          <w:p w14:paraId="263D68BB"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HYBRID KERNEKAPITAL</w:t>
            </w:r>
          </w:p>
          <w:p w14:paraId="1CE78A7A" w14:textId="77777777" w:rsidR="00173F08" w:rsidRPr="002A677E" w:rsidRDefault="00173F08" w:rsidP="00822842">
            <w:pPr>
              <w:rPr>
                <w:rStyle w:val="InstructionsTabelleberschrift"/>
                <w:sz w:val="24"/>
                <w:rFonts w:ascii="Times New Roman" w:hAnsi="Times New Roman"/>
              </w:rPr>
            </w:pPr>
            <w:r>
              <w:rPr>
                <w:sz w:val="24"/>
                <w:rFonts w:ascii="Times New Roman" w:hAnsi="Times New Roman"/>
              </w:rPr>
              <w:t xml:space="preserve">Artikel 61 i forordning (EU) nr. 575/2013</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0220</w:t>
            </w:r>
          </w:p>
        </w:tc>
        <w:tc>
          <w:tcPr>
            <w:tcW w:w="8640" w:type="dxa"/>
          </w:tcPr>
          <w:p w14:paraId="6869B355"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HERAF:</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KVALIFICERENDE HYBRID KERNEKAPITAL</w:t>
            </w:r>
          </w:p>
          <w:p w14:paraId="3A11BFD0"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Artikel 82 og 83 i forordning (EU) nr. 575/2013</w:t>
            </w:r>
          </w:p>
          <w:p w14:paraId="55F852AC"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Denne kolonne udfyldes kun for fuldt konsoliderede datterselskaber, der er institutter, med undtagelse af datterselskaber, der er omhandlet i artikel 85, stk. 2, i forordning (EU) nr. 575/2013.</w:t>
            </w:r>
            <w:r>
              <w:rPr>
                <w:sz w:val="24"/>
                <w:rStyle w:val="InstructionsTabelleText"/>
                <w:rFonts w:ascii="Times New Roman" w:hAnsi="Times New Roman"/>
              </w:rPr>
              <w:t xml:space="preserve"> </w:t>
            </w:r>
            <w:r>
              <w:rPr>
                <w:sz w:val="24"/>
                <w:rFonts w:ascii="Times New Roman" w:hAnsi="Times New Roman"/>
              </w:rPr>
              <w:t xml:space="preserve">I alle de beregninger, der kræves i medfør af artikel 85 i forordning (EU) nr. 575/2013, indgår hvert datterselskab på delkonsolideret grundlag, hvis det er relevant i henhold til artikel 85, stk. 2, og ellers på individuelt grundlag.</w:t>
            </w:r>
          </w:p>
          <w:p w14:paraId="32886E98"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Minoritetsinteresser er for ovennævnte datterselskaber hybride kernekapitalinstrumenter (plus tilknyttet overført resultat og overkurs ved emission), som ejes af andre personer end de virksomheder, som indgår i konsolideringen efter forordning (EU) nr. 575/2013.</w:t>
            </w:r>
          </w:p>
          <w:p w14:paraId="37079C74"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Det indberettede beløb skal indbefatte virkningerne af evt. overgangsbestemmelser.</w:t>
            </w:r>
            <w:r>
              <w:rPr>
                <w:rStyle w:val="InstructionsTabelleText"/>
                <w:sz w:val="24"/>
                <w:rFonts w:ascii="Times New Roman" w:hAnsi="Times New Roman"/>
              </w:rPr>
              <w:t xml:space="preserve"> </w:t>
            </w:r>
            <w:r>
              <w:rPr>
                <w:rStyle w:val="InstructionsTabelleText"/>
                <w:sz w:val="24"/>
                <w:rFonts w:ascii="Times New Roman" w:hAnsi="Times New Roman"/>
              </w:rPr>
              <w:t xml:space="preserve">Det skal være det gældende beløb på indberetningsdatoen.</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0230</w:t>
            </w:r>
          </w:p>
        </w:tc>
        <w:tc>
          <w:tcPr>
            <w:tcW w:w="8640" w:type="dxa"/>
          </w:tcPr>
          <w:p w14:paraId="7A2A757D"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SUPPLERENDE KAPITAL</w:t>
            </w:r>
          </w:p>
          <w:p w14:paraId="49EA3D83" w14:textId="77777777" w:rsidR="00173F08" w:rsidRPr="002A677E" w:rsidRDefault="00173F08" w:rsidP="00822842">
            <w:pPr>
              <w:rPr>
                <w:rStyle w:val="InstructionsTabelleberschrift"/>
                <w:sz w:val="24"/>
                <w:rFonts w:ascii="Times New Roman" w:hAnsi="Times New Roman"/>
              </w:rPr>
            </w:pPr>
            <w:r>
              <w:rPr>
                <w:sz w:val="24"/>
                <w:rFonts w:ascii="Times New Roman" w:hAnsi="Times New Roman"/>
              </w:rPr>
              <w:t xml:space="preserve">Artikel 71 i forordning (EU) nr. 575/2013</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0240</w:t>
            </w:r>
          </w:p>
        </w:tc>
        <w:tc>
          <w:tcPr>
            <w:tcW w:w="8640" w:type="dxa"/>
          </w:tcPr>
          <w:p w14:paraId="2E5C3EFE"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HERAF:</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KVALIFICERENDE SUPPLERENDE KAPITAL</w:t>
            </w:r>
          </w:p>
          <w:p w14:paraId="23E95E82"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Artikel 82 og 83 i forordning (EU) nr. 575/2013</w:t>
            </w:r>
          </w:p>
          <w:p w14:paraId="4ADB5899"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Denne kolonne udfyldes kun for fuldt konsoliderede datterselskaber, der er institutter, med undtagelse af datterselskaber, der er omhandlet i artikel 87, stk. 2, i forordning (EU) nr. 575/2013.</w:t>
            </w:r>
            <w:r>
              <w:rPr>
                <w:sz w:val="24"/>
                <w:rStyle w:val="InstructionsTabelleText"/>
                <w:rFonts w:ascii="Times New Roman" w:hAnsi="Times New Roman"/>
              </w:rPr>
              <w:t xml:space="preserve"> </w:t>
            </w:r>
            <w:r>
              <w:rPr>
                <w:sz w:val="24"/>
                <w:rFonts w:ascii="Times New Roman" w:hAnsi="Times New Roman"/>
              </w:rPr>
              <w:t xml:space="preserve">I alle de beregninger, der kræves i medfør af artikel 87 i forordning (EU) nr. 575/2013, indgår hvert datterselskab på delkonsolideret grundlag, hvis det er relevant i henhold til artikel 87, stk. 2, og ellers på individuelt grundlag.</w:t>
            </w:r>
            <w:r>
              <w:rPr>
                <w:sz w:val="24"/>
                <w:rStyle w:val="InstructionsTabelleText"/>
                <w:rFonts w:ascii="Times New Roman" w:hAnsi="Times New Roman"/>
              </w:rPr>
              <w:t xml:space="preserve"> </w:t>
            </w:r>
          </w:p>
          <w:p w14:paraId="5BE2C856"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Minoritetsinteresser er for ovennævnte datterselskaber supplerende kapitalinstrumenter (plus tilknyttet overført resultat og overkurs ved emission), som ejes af andre personer end de virksomheder, som indgår i konsolideringen efter forordning (EU) nr. 575/2013.</w:t>
            </w:r>
          </w:p>
          <w:p w14:paraId="262C7485"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Det indberettede beløb skal indbefatte virkningerne af evt. overgangsbestemmelser.</w:t>
            </w:r>
            <w:r>
              <w:rPr>
                <w:rStyle w:val="InstructionsTabelleText"/>
                <w:sz w:val="24"/>
                <w:rFonts w:ascii="Times New Roman" w:hAnsi="Times New Roman"/>
              </w:rPr>
              <w:t xml:space="preserve"> </w:t>
            </w:r>
            <w:r>
              <w:rPr>
                <w:rStyle w:val="InstructionsTabelleText"/>
                <w:sz w:val="24"/>
                <w:rFonts w:ascii="Times New Roman" w:hAnsi="Times New Roman"/>
              </w:rPr>
              <w:t xml:space="preserve">Det skal være det gældende beløb på referencedatoen.</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0250-0400</w:t>
            </w:r>
          </w:p>
        </w:tc>
        <w:tc>
          <w:tcPr>
            <w:tcW w:w="8640" w:type="dxa"/>
          </w:tcPr>
          <w:p w14:paraId="37BB26C8"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OPLYSNINGER OM ENHEDERNES BIDRAG TIL KONCERNSOLVENSEN</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0250-0290</w:t>
            </w:r>
          </w:p>
        </w:tc>
        <w:tc>
          <w:tcPr>
            <w:tcW w:w="8640" w:type="dxa"/>
          </w:tcPr>
          <w:p w14:paraId="42E5971D"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BIDRAG TIL RISICI</w:t>
            </w:r>
          </w:p>
          <w:p w14:paraId="7CE31949" w14:textId="77777777" w:rsidR="00173F08" w:rsidRPr="002A677E" w:rsidRDefault="00173F08" w:rsidP="00822842">
            <w:pPr>
              <w:rPr>
                <w:rStyle w:val="InstructionsTabelleberschrift"/>
                <w:sz w:val="24"/>
                <w:rFonts w:ascii="Times New Roman" w:hAnsi="Times New Roman"/>
              </w:rPr>
            </w:pPr>
            <w:r>
              <w:rPr>
                <w:sz w:val="24"/>
                <w:rFonts w:ascii="Times New Roman" w:hAnsi="Times New Roman"/>
              </w:rPr>
              <w:t xml:space="preserve">De oplysninger, der indberettes i følgende kolonner, skal være i overensstemmelse med de solvensregler, der gælder for det indberettende institut.</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0250</w:t>
            </w:r>
          </w:p>
        </w:tc>
        <w:tc>
          <w:tcPr>
            <w:tcW w:w="8640" w:type="dxa"/>
          </w:tcPr>
          <w:p w14:paraId="3B982E96"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SAMLET RISIKOEKSPONERING</w:t>
            </w:r>
          </w:p>
          <w:p w14:paraId="584007A2"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Summen af kolonne 0260 til 0290 indberettes.</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0260</w:t>
            </w:r>
          </w:p>
        </w:tc>
        <w:tc>
          <w:tcPr>
            <w:tcW w:w="8640" w:type="dxa"/>
          </w:tcPr>
          <w:p w14:paraId="20D38FF7"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KREDIT;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MODPARTSRISIKO;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UDVANDINGSRISIKO, LEVERINGSRISIKO (FREE DELIVERIES) OG AFVIKLINGS-/LEVERINGSRISIKO</w:t>
            </w:r>
          </w:p>
          <w:p w14:paraId="6F46A7CE"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Det indberettede beløb skal være de risikovægtede eksponeringer for kreditrisiko og kapitalgrundlagskravene i relation til afviklingsrisiko/leveringsrisiko efter forordning (EU) nr. 575/2013, ekskl. beløb vedrørende transaktioner med andre enheder, der indgår i beregningen af den konsoliderede soliditetsgrad for koncernen.</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0270</w:t>
            </w:r>
          </w:p>
        </w:tc>
        <w:tc>
          <w:tcPr>
            <w:tcW w:w="8640" w:type="dxa"/>
          </w:tcPr>
          <w:p w14:paraId="13B2AFE4" w14:textId="4AF0329D"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MARKEDSRISICI</w:t>
            </w:r>
          </w:p>
          <w:p w14:paraId="49127EF1" w14:textId="157C9035" w:rsidR="00173F08" w:rsidRPr="001235ED" w:rsidRDefault="00173F08" w:rsidP="00822842">
            <w:pPr>
              <w:rPr>
                <w:rStyle w:val="InstructionsTabelleText"/>
                <w:sz w:val="24"/>
                <w:rFonts w:ascii="Times New Roman" w:hAnsi="Times New Roman"/>
              </w:rPr>
            </w:pPr>
            <w:r>
              <w:rPr>
                <w:sz w:val="24"/>
                <w:rFonts w:ascii="Times New Roman" w:hAnsi="Times New Roman"/>
              </w:rPr>
              <w:t xml:space="preserve">Risikoeksponeringer for markedsrisici beregnes på hvert enhedsniveau i overensstemmelse med forordning (EU) nr. 575/2013.</w:t>
            </w:r>
            <w:r>
              <w:rPr>
                <w:sz w:val="24"/>
                <w:rStyle w:val="InstructionsTabelleText"/>
                <w:rFonts w:ascii="Times New Roman" w:hAnsi="Times New Roman"/>
              </w:rPr>
              <w:t xml:space="preserve"> </w:t>
            </w:r>
            <w:r>
              <w:rPr>
                <w:sz w:val="24"/>
                <w:rStyle w:val="InstructionsTabelleText"/>
                <w:rFonts w:ascii="Times New Roman" w:hAnsi="Times New Roman"/>
              </w:rPr>
              <w:t xml:space="preserve">Enheder skal indberette bidraget til koncernens samlede risikoeksponeringer for så vidt angår markedsrisiko.</w:t>
            </w:r>
            <w:r>
              <w:rPr>
                <w:sz w:val="24"/>
                <w:rStyle w:val="InstructionsTabelleText"/>
                <w:rFonts w:ascii="Times New Roman" w:hAnsi="Times New Roman"/>
              </w:rPr>
              <w:t xml:space="preserve"> </w:t>
            </w:r>
            <w:r>
              <w:rPr>
                <w:sz w:val="24"/>
                <w:rFonts w:ascii="Times New Roman" w:hAnsi="Times New Roman"/>
              </w:rPr>
              <w:t xml:space="preserve">Summen af de beløb, der indberettes her, svarer til det beløb, der indberettes i række 0520 "SAMLET RISIKOEKSPONERING FOR DEN FORRETNING, DER ER UNDERLAGT MARKEDSRISIKO" i den konsoliderede indberetning.</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0280</w:t>
            </w:r>
          </w:p>
        </w:tc>
        <w:tc>
          <w:tcPr>
            <w:tcW w:w="8640" w:type="dxa"/>
          </w:tcPr>
          <w:p w14:paraId="0F996708"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OPERATIONEL RISIKO</w:t>
            </w:r>
          </w:p>
          <w:p w14:paraId="58C1AE53" w14:textId="2055313A" w:rsidR="00702B2E" w:rsidRPr="00702B2E" w:rsidRDefault="00702B2E" w:rsidP="00822842">
            <w:pPr>
              <w:rPr>
                <w:sz w:val="24"/>
                <w:rFonts w:ascii="Times New Roman" w:hAnsi="Times New Roman"/>
              </w:rPr>
            </w:pPr>
            <w:r>
              <w:rPr>
                <w:sz w:val="24"/>
                <w:rFonts w:ascii="Times New Roman" w:hAnsi="Times New Roman"/>
              </w:rPr>
              <w:t xml:space="preserve">Det beløb, der skal indberettes i denne kolonne, svarer til risikoeksponeringen for så vidt angår operationel risiko.</w:t>
            </w:r>
          </w:p>
          <w:p w14:paraId="585BB330" w14:textId="03A1297F"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Faste omkostninger angives i denne kolonne.</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0290</w:t>
            </w:r>
          </w:p>
        </w:tc>
        <w:tc>
          <w:tcPr>
            <w:tcW w:w="8640" w:type="dxa"/>
          </w:tcPr>
          <w:p w14:paraId="1A6735B0"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ANDRE RISIKOEKSPONERINGER</w:t>
            </w:r>
          </w:p>
          <w:p w14:paraId="0483564A"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Det beløb, der skal indberettes i denne kolonne, svarer til risikoeksponeringen for andre risici end anført ovenfor.</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0300-0400</w:t>
            </w:r>
          </w:p>
        </w:tc>
        <w:tc>
          <w:tcPr>
            <w:tcW w:w="8640" w:type="dxa"/>
          </w:tcPr>
          <w:p w14:paraId="648286BD"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BIDRAG TIL KAPITALGRUNDLAG</w:t>
            </w:r>
          </w:p>
          <w:p w14:paraId="7E77E775" w14:textId="77777777" w:rsidR="00173F08" w:rsidRPr="001235ED" w:rsidRDefault="00173F08" w:rsidP="00822842">
            <w:pPr>
              <w:pStyle w:val="Texte2"/>
              <w:ind w:left="0"/>
              <w:rPr>
                <w:rStyle w:val="InstructionsTabelleText"/>
                <w:sz w:val="24"/>
                <w:szCs w:val="24"/>
                <w:rFonts w:ascii="Times New Roman" w:hAnsi="Times New Roman"/>
              </w:rPr>
            </w:pPr>
            <w:r>
              <w:rPr>
                <w:rStyle w:val="InstructionsTabelleText"/>
                <w:sz w:val="24"/>
                <w:rFonts w:ascii="Times New Roman" w:hAnsi="Times New Roman"/>
              </w:rPr>
              <w:t xml:space="preserve">Det er ikke hensigten, at institutterne i denne del af skemaet skal foretage en udførlig beregning af den samlede kapitalprocent på niveauet for hver enkelt enhed.</w:t>
            </w:r>
            <w:r>
              <w:rPr>
                <w:rStyle w:val="InstructionsTabelleText"/>
                <w:sz w:val="24"/>
                <w:rFonts w:ascii="Times New Roman" w:hAnsi="Times New Roman"/>
              </w:rPr>
              <w:t xml:space="preserve"> </w:t>
            </w:r>
          </w:p>
          <w:p w14:paraId="58F77BCC" w14:textId="77777777" w:rsidR="00173F08" w:rsidRPr="002A677E" w:rsidRDefault="00173F08" w:rsidP="00822842">
            <w:pPr>
              <w:pStyle w:val="Texte2"/>
              <w:ind w:left="0"/>
              <w:rPr>
                <w:rStyle w:val="InstructionsTabelleText"/>
                <w:sz w:val="24"/>
                <w:szCs w:val="24"/>
                <w:rFonts w:ascii="Times New Roman" w:hAnsi="Times New Roman"/>
              </w:rPr>
            </w:pPr>
            <w:r>
              <w:rPr>
                <w:sz w:val="24"/>
                <w:rFonts w:ascii="Times New Roman" w:hAnsi="Times New Roman"/>
              </w:rPr>
              <w:t xml:space="preserve">Kolonne 0300 til 0350 udfyldes for konsoliderede enheder, der bidrager til kapitalgrundlaget med minoritetsinteresse, kvalificerende kernekapital eller kvalificerende kapitalgrundlag.</w:t>
            </w:r>
            <w:r>
              <w:rPr>
                <w:sz w:val="24"/>
                <w:rFonts w:ascii="Times New Roman" w:hAnsi="Times New Roman"/>
              </w:rPr>
              <w:t xml:space="preserve"> </w:t>
            </w:r>
            <w:r>
              <w:rPr>
                <w:sz w:val="24"/>
                <w:rFonts w:ascii="Times New Roman" w:hAnsi="Times New Roman"/>
              </w:rPr>
              <w:t xml:space="preserve">Under hensyntagen til den tærskel, der er omhandlet i del II, kapitel 2.3, sidste afsnit, skal kolonne 0360 til 0400 indberettes for alle konsoliderede enheder, der bidrager til det konsoliderede kapitalgrundlag.</w:t>
            </w:r>
          </w:p>
          <w:p w14:paraId="29552A89" w14:textId="77777777" w:rsidR="00173F08" w:rsidRPr="002A677E" w:rsidRDefault="00173F08" w:rsidP="00822842">
            <w:pPr>
              <w:pStyle w:val="Texte2"/>
              <w:ind w:left="0"/>
              <w:rPr>
                <w:rStyle w:val="InstructionsTabelleText"/>
                <w:sz w:val="24"/>
                <w:szCs w:val="24"/>
                <w:rFonts w:ascii="Times New Roman" w:hAnsi="Times New Roman"/>
              </w:rPr>
            </w:pPr>
            <w:r>
              <w:rPr>
                <w:rStyle w:val="InstructionsTabelleText"/>
                <w:sz w:val="24"/>
                <w:rFonts w:ascii="Times New Roman" w:hAnsi="Times New Roman"/>
              </w:rPr>
              <w:t xml:space="preserve">Kapitalgrundlag, som tilføres en enhed af resten af de enheder, der indgår i den indberettende enhed, medregnes ikke. Kun nettobidraget til koncernens kapitalgrundlag indberettes i denne kolonne (primært kapitalgrundlag fra tredjeparter og kumulerede reserver).</w:t>
            </w:r>
            <w:r>
              <w:rPr>
                <w:rStyle w:val="InstructionsTabelleText"/>
                <w:sz w:val="24"/>
                <w:rFonts w:ascii="Times New Roman" w:hAnsi="Times New Roman"/>
              </w:rPr>
              <w:t xml:space="preserve"> </w:t>
            </w:r>
          </w:p>
          <w:p w14:paraId="434D930D" w14:textId="77777777" w:rsidR="00173F08" w:rsidRPr="002A677E" w:rsidRDefault="00173F08" w:rsidP="00822842">
            <w:pPr>
              <w:pStyle w:val="Texte2"/>
              <w:spacing w:after="120"/>
              <w:ind w:left="0"/>
              <w:rPr>
                <w:rStyle w:val="InstructionsTabelleberschrift"/>
                <w:b w:val="0"/>
                <w:bCs w:val="0"/>
                <w:sz w:val="24"/>
                <w:szCs w:val="24"/>
                <w:rFonts w:ascii="Times New Roman" w:hAnsi="Times New Roman"/>
              </w:rPr>
            </w:pPr>
            <w:r>
              <w:rPr>
                <w:rStyle w:val="InstructionsTabelleText"/>
                <w:sz w:val="24"/>
                <w:rFonts w:ascii="Times New Roman" w:hAnsi="Times New Roman"/>
              </w:rPr>
              <w:t xml:space="preserve">De oplysninger, der indberettes i følgende kolonner, skal være i overensstemmelse med de </w:t>
            </w:r>
            <w:r>
              <w:rPr>
                <w:rStyle w:val="InstructionsTabelleText"/>
                <w:sz w:val="24"/>
                <w:rFonts w:ascii="Times New Roman" w:hAnsi="Times New Roman"/>
              </w:rPr>
              <w:t xml:space="preserve">solvensregler, der gælder for det indberettende institut.</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0300-0350</w:t>
            </w:r>
          </w:p>
        </w:tc>
        <w:tc>
          <w:tcPr>
            <w:tcW w:w="8640" w:type="dxa"/>
          </w:tcPr>
          <w:p w14:paraId="1F3610D7"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KVALIFICERENDE KAPITALGRUNDLAG, DER INDGÅR I DET KONSOLIDEREDE KAPITALGRUNDLAG</w:t>
            </w:r>
          </w:p>
          <w:p w14:paraId="7830B882" w14:textId="77777777" w:rsidR="00173F08" w:rsidRPr="002A677E" w:rsidRDefault="00173F08" w:rsidP="00822842">
            <w:pPr>
              <w:rPr>
                <w:rStyle w:val="InstructionsTabelleberschrift"/>
                <w:sz w:val="24"/>
                <w:rFonts w:ascii="Times New Roman" w:hAnsi="Times New Roman"/>
              </w:rPr>
            </w:pPr>
            <w:r>
              <w:rPr>
                <w:sz w:val="24"/>
                <w:rFonts w:ascii="Times New Roman" w:hAnsi="Times New Roman"/>
              </w:rPr>
              <w:t xml:space="preserve">Det beløb, der indberettes som "KVALIFICERENDE KAPITALGRUNDLAG, DER INDGÅR I DET KONSOLIDEREDE KAPITALGRUNDLAG", skal være det beløb, der er opført i henhold til anden del, afsnit II, i forordning (EU) nr. 575/2013, ekskl. kapital, der tilføres af andre koncernenheder.</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0300</w:t>
            </w:r>
          </w:p>
        </w:tc>
        <w:tc>
          <w:tcPr>
            <w:tcW w:w="8640" w:type="dxa"/>
          </w:tcPr>
          <w:p w14:paraId="52465511"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KVALIFICERENDE KAPITALGRUNDLAG, DER INDGÅR I DET KONSOLIDEREDE KAPITALGRUNDLAG</w:t>
            </w:r>
          </w:p>
          <w:p w14:paraId="6F3A607D"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Artikel 87 i forordning (EU) nr. 575/2013</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0310</w:t>
            </w:r>
          </w:p>
        </w:tc>
        <w:tc>
          <w:tcPr>
            <w:tcW w:w="8640" w:type="dxa"/>
          </w:tcPr>
          <w:p w14:paraId="2378035D"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KVALIFICERENDE KERNEKAPITALINSTRUMENTER, DER INDGÅR I DEN KONSOLIDEREDE KERNEKAPITAL</w:t>
            </w:r>
          </w:p>
          <w:p w14:paraId="4E25C234"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Artikel 85 i forordning (EU) nr. 575/2013</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0320</w:t>
            </w:r>
          </w:p>
        </w:tc>
        <w:tc>
          <w:tcPr>
            <w:tcW w:w="8640" w:type="dxa"/>
          </w:tcPr>
          <w:p w14:paraId="5D406C67" w14:textId="77777777" w:rsidR="00173F08" w:rsidRPr="002A677E" w:rsidRDefault="00173F08" w:rsidP="00822842">
            <w:pPr>
              <w:rPr>
                <w:rStyle w:val="InstructionsTabelleText"/>
                <w:sz w:val="24"/>
                <w:rFonts w:ascii="Times New Roman" w:hAnsi="Times New Roman"/>
              </w:rPr>
            </w:pPr>
            <w:r>
              <w:rPr>
                <w:rStyle w:val="InstructionsTabelleberschrift"/>
                <w:sz w:val="24"/>
                <w:rFonts w:ascii="Times New Roman" w:hAnsi="Times New Roman"/>
              </w:rPr>
              <w:t xml:space="preserve">MINORITETSINTERESSER, DER INDGÅR I DEN KONSOLIDEREDE EGENTLIGE</w:t>
            </w:r>
            <w:r>
              <w:t xml:space="preserve"> </w:t>
            </w:r>
            <w:r>
              <w:br/>
            </w:r>
            <w:r>
              <w:rPr>
                <w:rStyle w:val="InstructionsTabelleberschrift"/>
                <w:sz w:val="24"/>
                <w:rFonts w:ascii="Times New Roman" w:hAnsi="Times New Roman"/>
              </w:rPr>
              <w:t xml:space="preserve">KERNEKAPITAL</w:t>
            </w:r>
          </w:p>
          <w:p w14:paraId="0B8B81AA"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Artikel 84 i forordning (EU) nr. 575/2013</w:t>
            </w:r>
          </w:p>
          <w:p w14:paraId="01FA0CDC"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Det beløb, der skal indberettes, er beløbet for et datterselskabs minoritetsinteresser, der indgår i den konsoliderede egentlige kernekapital i henhold til forordning (EU) nr. 575/2013.</w:t>
            </w:r>
            <w:r>
              <w:rPr>
                <w:sz w:val="24"/>
                <w:rStyle w:val="InstructionsTabelleText"/>
                <w:rFonts w:ascii="Times New Roman" w:hAnsi="Times New Roman"/>
              </w:rPr>
              <w:t xml:space="preserve">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0330</w:t>
            </w:r>
          </w:p>
        </w:tc>
        <w:tc>
          <w:tcPr>
            <w:tcW w:w="8640" w:type="dxa"/>
          </w:tcPr>
          <w:p w14:paraId="6AF15CF2" w14:textId="77777777" w:rsidR="00173F08" w:rsidRPr="002A677E" w:rsidRDefault="00173F08" w:rsidP="00822842">
            <w:pPr>
              <w:rPr>
                <w:rStyle w:val="InstructionsTabelleText"/>
                <w:sz w:val="24"/>
                <w:rFonts w:ascii="Times New Roman" w:hAnsi="Times New Roman"/>
              </w:rPr>
            </w:pPr>
            <w:r>
              <w:rPr>
                <w:rStyle w:val="InstructionsTabelleberschrift"/>
                <w:sz w:val="24"/>
                <w:rFonts w:ascii="Times New Roman" w:hAnsi="Times New Roman"/>
              </w:rPr>
              <w:t xml:space="preserve">KVALIFICERENDE KERNEKAPITALINSTRUMENTER, DER INDGÅR I DEN KONSOLIDEREDE HYBRIDE KERNEKAPITAL</w:t>
            </w:r>
          </w:p>
          <w:p w14:paraId="488797C4"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Artikel 86 i forordning (EU) nr. 575/2013</w:t>
            </w:r>
          </w:p>
          <w:p w14:paraId="14D60AC1"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Det beløb, der skal indberettes, er beløbet for et datterselskabs kvalificerende kernekapital, der indgår i den konsoliderede hybride kernekapital i henhold til forordning (EU) nr. 575/2013.</w:t>
            </w:r>
            <w:r>
              <w:rPr>
                <w:sz w:val="24"/>
                <w:rStyle w:val="InstructionsTabelleText"/>
                <w:rFonts w:ascii="Times New Roman" w:hAnsi="Times New Roman"/>
              </w:rPr>
              <w:t xml:space="preserve">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0340</w:t>
            </w:r>
          </w:p>
        </w:tc>
        <w:tc>
          <w:tcPr>
            <w:tcW w:w="8640" w:type="dxa"/>
          </w:tcPr>
          <w:p w14:paraId="6E1E5EBF"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KVALIFICERENDE KAPITALGRUNDLAGSINSTRUMENTER, DER INDGÅR I DEN</w:t>
            </w:r>
            <w:r>
              <w:t xml:space="preserve"> </w:t>
            </w:r>
            <w:r>
              <w:br/>
            </w:r>
            <w:r>
              <w:rPr>
                <w:rStyle w:val="InstructionsTabelleberschrift"/>
                <w:sz w:val="24"/>
                <w:rFonts w:ascii="Times New Roman" w:hAnsi="Times New Roman"/>
              </w:rPr>
              <w:t xml:space="preserve">KONSOLIDEREDE SUPPLERENDE KAPITAL</w:t>
            </w:r>
          </w:p>
          <w:p w14:paraId="1E25A6DF"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Artikel 88 i forordning (EU) nr. 575/2013</w:t>
            </w:r>
          </w:p>
          <w:p w14:paraId="257F78A1"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Det beløb, der skal indberettes, er beløbet for et datterselskabs kvalificerende kapitalgrundlag, der indgår i den konsoliderede supplerende kapital i henhold til forordning (EU) nr. 575/2013.</w:t>
            </w:r>
            <w:r>
              <w:rPr>
                <w:sz w:val="24"/>
                <w:rStyle w:val="InstructionsTabelleText"/>
                <w:rFonts w:ascii="Times New Roman" w:hAnsi="Times New Roman"/>
              </w:rPr>
              <w:t xml:space="preserve"> </w:t>
            </w:r>
          </w:p>
        </w:tc>
      </w:tr>
      <w:tr w:rsidR="00173F08" w:rsidRPr="002A677E" w14:paraId="39EA7587" w14:textId="77777777" w:rsidTr="00822842">
        <w:tc>
          <w:tcPr>
            <w:tcW w:w="1188" w:type="dxa"/>
          </w:tcPr>
          <w:p w14:paraId="04CB064F" w14:textId="77777777" w:rsidR="00173F08" w:rsidRPr="002A677E" w:rsidRDefault="00173F08" w:rsidP="00822842">
            <w:pPr>
              <w:rPr>
                <w:sz w:val="24"/>
                <w:rFonts w:ascii="Times New Roman" w:hAnsi="Times New Roman"/>
              </w:rPr>
            </w:pPr>
            <w:r>
              <w:rPr>
                <w:sz w:val="24"/>
                <w:rFonts w:ascii="Times New Roman" w:hAnsi="Times New Roman"/>
              </w:rPr>
              <w:t xml:space="preserve">0350</w:t>
            </w:r>
          </w:p>
        </w:tc>
        <w:tc>
          <w:tcPr>
            <w:tcW w:w="8640" w:type="dxa"/>
          </w:tcPr>
          <w:p w14:paraId="7BBDC2E3" w14:textId="77777777" w:rsidR="00173F08" w:rsidRPr="002A677E" w:rsidRDefault="00173F08" w:rsidP="00822842">
            <w:pPr>
              <w:rPr>
                <w:rStyle w:val="InstructionsTabelleberschrift"/>
                <w:b w:val="0"/>
                <w:sz w:val="24"/>
                <w:rFonts w:ascii="Times New Roman" w:hAnsi="Times New Roman"/>
              </w:rPr>
            </w:pPr>
            <w:r>
              <w:rPr>
                <w:rStyle w:val="InstructionsTabelleberschrift"/>
                <w:sz w:val="24"/>
                <w:rFonts w:ascii="Times New Roman" w:hAnsi="Times New Roman"/>
              </w:rPr>
              <w:t xml:space="preserve">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GOODWILL (-)/(+) NEGATIV GOODWILL</w:t>
            </w:r>
          </w:p>
        </w:tc>
      </w:tr>
      <w:tr w:rsidR="00173F08" w:rsidRPr="002A677E" w14:paraId="3997C23F" w14:textId="77777777" w:rsidTr="00822842">
        <w:tc>
          <w:tcPr>
            <w:tcW w:w="1188" w:type="dxa"/>
          </w:tcPr>
          <w:p w14:paraId="72AB87A5" w14:textId="77777777" w:rsidR="00173F08" w:rsidRPr="002A677E" w:rsidRDefault="00173F08" w:rsidP="00822842">
            <w:pPr>
              <w:rPr>
                <w:sz w:val="24"/>
                <w:rFonts w:ascii="Times New Roman" w:hAnsi="Times New Roman"/>
              </w:rPr>
            </w:pPr>
            <w:r>
              <w:rPr>
                <w:sz w:val="24"/>
                <w:rFonts w:ascii="Times New Roman" w:hAnsi="Times New Roman"/>
              </w:rPr>
              <w:t xml:space="preserve">0360-0400</w:t>
            </w:r>
          </w:p>
        </w:tc>
        <w:tc>
          <w:tcPr>
            <w:tcW w:w="8640" w:type="dxa"/>
          </w:tcPr>
          <w:p w14:paraId="397FA959"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KONSOLIDERET KAPITALGRUNDLAG</w:t>
            </w:r>
          </w:p>
          <w:p w14:paraId="71907E17"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Artikel 18 i forordning (EU) nr. 575/2013</w:t>
            </w:r>
          </w:p>
          <w:p w14:paraId="4F42327D"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Det beløb, der skal indberettes som "KONSOLIDERET KAPITALGRUNDLAG", er beløbet opført i balancen, ekskl. kapital, der tilføres af andre koncernenheder.</w:t>
            </w:r>
          </w:p>
        </w:tc>
      </w:tr>
      <w:tr w:rsidR="00173F08" w:rsidRPr="002A677E" w14:paraId="293A7FF6" w14:textId="77777777" w:rsidTr="00822842">
        <w:tc>
          <w:tcPr>
            <w:tcW w:w="1188" w:type="dxa"/>
          </w:tcPr>
          <w:p w14:paraId="0E03C6C1" w14:textId="77777777" w:rsidR="00173F08" w:rsidRPr="002A677E" w:rsidRDefault="00173F08" w:rsidP="00822842">
            <w:pPr>
              <w:rPr>
                <w:sz w:val="24"/>
                <w:rFonts w:ascii="Times New Roman" w:hAnsi="Times New Roman"/>
              </w:rPr>
            </w:pPr>
            <w:r>
              <w:rPr>
                <w:sz w:val="24"/>
                <w:rFonts w:ascii="Times New Roman" w:hAnsi="Times New Roman"/>
              </w:rPr>
              <w:t xml:space="preserve">0360</w:t>
            </w:r>
          </w:p>
        </w:tc>
        <w:tc>
          <w:tcPr>
            <w:tcW w:w="8640" w:type="dxa"/>
          </w:tcPr>
          <w:p w14:paraId="41EC81C0"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KONSOLIDERET KAPITALGRUNDLAG</w:t>
            </w:r>
          </w:p>
        </w:tc>
      </w:tr>
      <w:tr w:rsidR="00173F08" w:rsidRPr="002A677E" w14:paraId="2E86BBAD" w14:textId="77777777" w:rsidTr="00822842">
        <w:tc>
          <w:tcPr>
            <w:tcW w:w="1188" w:type="dxa"/>
          </w:tcPr>
          <w:p w14:paraId="444BD8B5" w14:textId="77777777" w:rsidR="00173F08" w:rsidRPr="002A677E" w:rsidRDefault="00173F08" w:rsidP="00822842">
            <w:pPr>
              <w:rPr>
                <w:sz w:val="24"/>
                <w:rFonts w:ascii="Times New Roman" w:hAnsi="Times New Roman"/>
              </w:rPr>
            </w:pPr>
            <w:r>
              <w:rPr>
                <w:sz w:val="24"/>
                <w:rFonts w:ascii="Times New Roman" w:hAnsi="Times New Roman"/>
              </w:rPr>
              <w:t xml:space="preserve">0370</w:t>
            </w:r>
          </w:p>
        </w:tc>
        <w:tc>
          <w:tcPr>
            <w:tcW w:w="8640" w:type="dxa"/>
          </w:tcPr>
          <w:p w14:paraId="2CC57784"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HERAF: EGENTLIG KERNEKAPITAL</w:t>
            </w:r>
          </w:p>
        </w:tc>
      </w:tr>
      <w:tr w:rsidR="00173F08" w:rsidRPr="002A677E" w14:paraId="68DCA9F1" w14:textId="77777777" w:rsidTr="00822842">
        <w:tc>
          <w:tcPr>
            <w:tcW w:w="1188" w:type="dxa"/>
          </w:tcPr>
          <w:p w14:paraId="01DAA296" w14:textId="77777777" w:rsidR="00173F08" w:rsidRPr="002A677E" w:rsidDel="0081176B" w:rsidRDefault="00173F08" w:rsidP="00822842">
            <w:pPr>
              <w:rPr>
                <w:sz w:val="24"/>
                <w:rFonts w:ascii="Times New Roman" w:hAnsi="Times New Roman"/>
              </w:rPr>
            </w:pPr>
            <w:r>
              <w:rPr>
                <w:sz w:val="24"/>
                <w:rFonts w:ascii="Times New Roman" w:hAnsi="Times New Roman"/>
              </w:rPr>
              <w:t xml:space="preserve">0380</w:t>
            </w:r>
          </w:p>
        </w:tc>
        <w:tc>
          <w:tcPr>
            <w:tcW w:w="8640" w:type="dxa"/>
          </w:tcPr>
          <w:p w14:paraId="3B9BF397" w14:textId="77777777" w:rsidR="00173F08" w:rsidRPr="002A677E" w:rsidDel="0081176B"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HERAF: HYBRID KERNEKAPITAL</w:t>
            </w:r>
          </w:p>
        </w:tc>
      </w:tr>
      <w:tr w:rsidR="00173F08" w:rsidRPr="002A677E" w14:paraId="0D196D2B" w14:textId="77777777" w:rsidTr="00822842">
        <w:tc>
          <w:tcPr>
            <w:tcW w:w="1188" w:type="dxa"/>
          </w:tcPr>
          <w:p w14:paraId="74707B55" w14:textId="77777777" w:rsidR="00173F08" w:rsidRPr="002A677E" w:rsidRDefault="00173F08" w:rsidP="00822842">
            <w:pPr>
              <w:rPr>
                <w:sz w:val="24"/>
                <w:rFonts w:ascii="Times New Roman" w:hAnsi="Times New Roman"/>
              </w:rPr>
            </w:pPr>
            <w:r>
              <w:rPr>
                <w:sz w:val="24"/>
                <w:rFonts w:ascii="Times New Roman" w:hAnsi="Times New Roman"/>
              </w:rPr>
              <w:t xml:space="preserve">0390</w:t>
            </w:r>
          </w:p>
        </w:tc>
        <w:tc>
          <w:tcPr>
            <w:tcW w:w="8640" w:type="dxa"/>
          </w:tcPr>
          <w:p w14:paraId="1A386497" w14:textId="77777777" w:rsidR="00173F08" w:rsidRPr="002A677E" w:rsidRDefault="00173F08" w:rsidP="00822842">
            <w:pPr>
              <w:rPr>
                <w:rStyle w:val="InstructionsTabelleText"/>
                <w:sz w:val="24"/>
                <w:rFonts w:ascii="Times New Roman" w:hAnsi="Times New Roman"/>
              </w:rPr>
            </w:pPr>
            <w:r>
              <w:rPr>
                <w:rStyle w:val="InstructionsTabelleberschrift"/>
                <w:sz w:val="24"/>
                <w:rFonts w:ascii="Times New Roman" w:hAnsi="Times New Roman"/>
              </w:rPr>
              <w:t xml:space="preserve">HERAF: BIDRAG TIL KONSOLIDERET RESULTAT</w:t>
            </w:r>
          </w:p>
          <w:p w14:paraId="0077C050"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Hver enheds bidrag til det konsoliderede resultat (overskud eller tab (-)) indberettes.</w:t>
            </w:r>
            <w:r>
              <w:rPr>
                <w:rStyle w:val="InstructionsTabelleText"/>
                <w:sz w:val="24"/>
                <w:rFonts w:ascii="Times New Roman" w:hAnsi="Times New Roman"/>
              </w:rPr>
              <w:t xml:space="preserve"> </w:t>
            </w:r>
            <w:r>
              <w:rPr>
                <w:rStyle w:val="InstructionsTabelleText"/>
                <w:sz w:val="24"/>
                <w:rFonts w:ascii="Times New Roman" w:hAnsi="Times New Roman"/>
              </w:rPr>
              <w:t xml:space="preserve">Det indbefatter resultater, der vedrører minoritetsinteresser.</w:t>
            </w:r>
          </w:p>
        </w:tc>
      </w:tr>
      <w:tr w:rsidR="00173F08" w:rsidRPr="002A677E" w14:paraId="499357F9" w14:textId="77777777" w:rsidTr="00822842">
        <w:tc>
          <w:tcPr>
            <w:tcW w:w="1188" w:type="dxa"/>
          </w:tcPr>
          <w:p w14:paraId="237DD5A1" w14:textId="77777777" w:rsidR="00173F08" w:rsidRPr="002A677E" w:rsidRDefault="00173F08" w:rsidP="00822842">
            <w:pPr>
              <w:rPr>
                <w:sz w:val="24"/>
                <w:rFonts w:ascii="Times New Roman" w:hAnsi="Times New Roman"/>
              </w:rPr>
            </w:pPr>
            <w:r>
              <w:rPr>
                <w:sz w:val="24"/>
                <w:rFonts w:ascii="Times New Roman" w:hAnsi="Times New Roman"/>
              </w:rPr>
              <w:t xml:space="preserve">0400</w:t>
            </w:r>
          </w:p>
        </w:tc>
        <w:tc>
          <w:tcPr>
            <w:tcW w:w="8640" w:type="dxa"/>
          </w:tcPr>
          <w:p w14:paraId="2D7939A6"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HERAF: (-) GOODWILL/(+) NEGATIV GOODWILL</w:t>
            </w:r>
          </w:p>
          <w:p w14:paraId="1EA56152" w14:textId="77777777" w:rsidR="00173F08" w:rsidRPr="002A677E" w:rsidRDefault="00173F08" w:rsidP="00822842">
            <w:pPr>
              <w:rPr>
                <w:rStyle w:val="InstructionsTabelleberschrift"/>
                <w:sz w:val="24"/>
                <w:rFonts w:ascii="Times New Roman" w:hAnsi="Times New Roman"/>
              </w:rPr>
            </w:pPr>
            <w:r>
              <w:rPr>
                <w:rStyle w:val="InstructionsTabelleText"/>
                <w:sz w:val="24"/>
                <w:rFonts w:ascii="Times New Roman" w:hAnsi="Times New Roman"/>
              </w:rPr>
              <w:t xml:space="preserve">Den indberettende enheds goodwill eller negative goodwill i forbindelse med datterselskabet indberettes her.</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0410-0480</w:t>
            </w:r>
          </w:p>
        </w:tc>
        <w:tc>
          <w:tcPr>
            <w:tcW w:w="8640" w:type="dxa"/>
          </w:tcPr>
          <w:p w14:paraId="653C81F3"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KAPITALBUFFERE</w:t>
            </w:r>
          </w:p>
          <w:p w14:paraId="5D522742" w14:textId="77777777" w:rsidR="00173F08" w:rsidRPr="002A677E" w:rsidRDefault="00173F08" w:rsidP="00822842">
            <w:pPr>
              <w:rPr>
                <w:rStyle w:val="InstructionsTabelleberschrift"/>
                <w:b w:val="0"/>
                <w:sz w:val="24"/>
                <w:rFonts w:ascii="Times New Roman" w:hAnsi="Times New Roman"/>
              </w:rPr>
            </w:pPr>
            <w:r>
              <w:rPr>
                <w:sz w:val="24"/>
                <w:rStyle w:val="InstructionsTabelleberschrift"/>
                <w:rFonts w:ascii="Times New Roman" w:hAnsi="Times New Roman"/>
              </w:rPr>
              <w:t xml:space="preserve">Indberetningen af kapitalbuffere i GS-skemaet følger den generelle opbygning i skema CA4, og der anvendes de samme indberetningsbegreber.</w:t>
            </w:r>
            <w:r>
              <w:rPr>
                <w:sz w:val="24"/>
                <w:rStyle w:val="InstructionsTabelleberschrift"/>
                <w:rFonts w:ascii="Times New Roman" w:hAnsi="Times New Roman"/>
              </w:rPr>
              <w:t xml:space="preserve"> </w:t>
            </w:r>
            <w:r>
              <w:rPr>
                <w:sz w:val="24"/>
                <w:rStyle w:val="InstructionsTabelleberschrift"/>
                <w:rFonts w:ascii="Times New Roman" w:hAnsi="Times New Roman"/>
              </w:rPr>
              <w:t xml:space="preserve">Ved indberetningen af kapitalbuffere i GS-skemaet indberettes de relevante værdier i overensstemmelse med de bestemmelser, der gælder for bestemmelse af bufferkravet for den konsoliderede situation for en koncern.</w:t>
            </w:r>
            <w:r>
              <w:rPr>
                <w:sz w:val="24"/>
                <w:rStyle w:val="InstructionsTabelleberschrift"/>
                <w:rFonts w:ascii="Times New Roman" w:hAnsi="Times New Roman"/>
              </w:rPr>
              <w:t xml:space="preserve"> </w:t>
            </w:r>
            <w:r>
              <w:rPr>
                <w:sz w:val="24"/>
                <w:rStyle w:val="InstructionsTabelleberschrift"/>
                <w:rFonts w:ascii="Times New Roman" w:hAnsi="Times New Roman"/>
              </w:rPr>
              <w:t xml:space="preserve">De indberettede værdier for kapitalbuffere repræsenterer derfor hver enheds bidrag til koncernkapitalbuffere.</w:t>
            </w:r>
            <w:r>
              <w:rPr>
                <w:sz w:val="24"/>
                <w:rStyle w:val="InstructionsTabelleberschrift"/>
                <w:rFonts w:ascii="Times New Roman" w:hAnsi="Times New Roman"/>
              </w:rPr>
              <w:t xml:space="preserve"> </w:t>
            </w:r>
            <w:r>
              <w:rPr>
                <w:sz w:val="24"/>
                <w:rStyle w:val="InstructionsTabelleberschrift"/>
                <w:rFonts w:ascii="Times New Roman" w:hAnsi="Times New Roman"/>
              </w:rPr>
              <w:t xml:space="preserve">De indberettede værdier skal baseres på de nationale gennemførelsesforanstaltninger</w:t>
            </w:r>
            <w:r>
              <w:rPr>
                <w:sz w:val="24"/>
                <w:rFonts w:ascii="Times New Roman" w:hAnsi="Times New Roman"/>
              </w:rPr>
              <w:t xml:space="preserve"> for direktiv 2013/36/EU </w:t>
            </w:r>
            <w:r>
              <w:rPr>
                <w:sz w:val="24"/>
                <w:rStyle w:val="InstructionsTabelleberschrift"/>
                <w:rFonts w:ascii="Times New Roman" w:hAnsi="Times New Roman"/>
              </w:rPr>
              <w:t xml:space="preserve">og på</w:t>
            </w:r>
            <w:r>
              <w:rPr>
                <w:sz w:val="24"/>
                <w:rFonts w:ascii="Times New Roman" w:hAnsi="Times New Roman"/>
              </w:rPr>
              <w:t xml:space="preserve"> forordning (EU) nr. 575/2013</w:t>
            </w:r>
            <w:r>
              <w:rPr>
                <w:sz w:val="24"/>
                <w:rStyle w:val="InstructionsTabelleberschrift"/>
                <w:rFonts w:ascii="Times New Roman" w:hAnsi="Times New Roman"/>
              </w:rPr>
              <w:t xml:space="preserve">, herunder eventuelle overgangsbestemmelser deri.</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0410</w:t>
            </w:r>
          </w:p>
        </w:tc>
        <w:tc>
          <w:tcPr>
            <w:tcW w:w="8640" w:type="dxa"/>
          </w:tcPr>
          <w:p w14:paraId="14D301D1"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KOMBINERET BUFFERKRAV</w:t>
            </w:r>
          </w:p>
          <w:p w14:paraId="7DF96672" w14:textId="77777777" w:rsidR="00173F08" w:rsidRPr="002A677E" w:rsidRDefault="00173F08" w:rsidP="00822842">
            <w:pPr>
              <w:tabs>
                <w:tab w:val="left" w:pos="3510"/>
              </w:tabs>
              <w:rPr>
                <w:rStyle w:val="InstructionsTabelleberschrift"/>
                <w:sz w:val="24"/>
                <w:rFonts w:ascii="Times New Roman" w:hAnsi="Times New Roman"/>
              </w:rPr>
            </w:pPr>
            <w:r>
              <w:rPr>
                <w:sz w:val="24"/>
                <w:rFonts w:ascii="Times New Roman" w:hAnsi="Times New Roman"/>
              </w:rPr>
              <w:t xml:space="preserve">Artikel 128, nr. 6), i direktiv 2013/36/EU</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0420</w:t>
            </w:r>
          </w:p>
        </w:tc>
        <w:tc>
          <w:tcPr>
            <w:tcW w:w="8640" w:type="dxa"/>
          </w:tcPr>
          <w:p w14:paraId="41EA8A90"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KAPITALBEVARINGSBUFFER</w:t>
            </w:r>
          </w:p>
          <w:p w14:paraId="5DD283B6"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Artikel 128, stk. 1, og artikel 129 i direktiv 2013/36/EU</w:t>
            </w:r>
          </w:p>
          <w:p w14:paraId="7013CF4E" w14:textId="77777777" w:rsidR="00173F08" w:rsidRPr="002A677E" w:rsidRDefault="00173F08" w:rsidP="00822842">
            <w:pPr>
              <w:pStyle w:val="InstructionsText"/>
              <w:rPr>
                <w:rStyle w:val="InstructionsTabelleText"/>
              </w:rPr>
            </w:pPr>
            <w:r>
              <w:t xml:space="preserve">I henhold til artikel 129, stk. 1, i direktiv 2013/36/EU er kapitalbevaringsbufferen et beløb ud over den egentlige kernekapital.</w:t>
            </w:r>
            <w:r>
              <w:t xml:space="preserve"> </w:t>
            </w:r>
            <w:r>
              <w:t xml:space="preserve">Eftersom satsen på 2,5 % for kapitalbevaringsbufferen er stabil, skal der indberettes et beløb i denne celle.</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0430</w:t>
            </w:r>
          </w:p>
        </w:tc>
        <w:tc>
          <w:tcPr>
            <w:tcW w:w="8640" w:type="dxa"/>
          </w:tcPr>
          <w:p w14:paraId="6552E827"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INSTITUTSPECIFIK KONTRACYKLISK KAPITALBUFFER</w:t>
            </w:r>
          </w:p>
          <w:p w14:paraId="38A11488" w14:textId="77777777" w:rsidR="00173F08" w:rsidRPr="002A677E" w:rsidRDefault="00173F08" w:rsidP="00822842">
            <w:pPr>
              <w:rPr>
                <w:rStyle w:val="InstructionsTabelleText"/>
                <w:sz w:val="24"/>
                <w:rFonts w:ascii="Times New Roman" w:hAnsi="Times New Roman"/>
              </w:rPr>
            </w:pPr>
            <w:r>
              <w:rPr>
                <w:sz w:val="24"/>
                <w:rFonts w:ascii="Times New Roman" w:hAnsi="Times New Roman"/>
              </w:rPr>
              <w:t xml:space="preserve">Artikel 128, nr. 2), artikel 130 og 135-140 i direktiv 2013/36/EU</w:t>
            </w:r>
          </w:p>
          <w:p w14:paraId="169D829F" w14:textId="77777777" w:rsidR="00173F08" w:rsidRPr="002A677E" w:rsidRDefault="00173F08" w:rsidP="00822842">
            <w:pPr>
              <w:pStyle w:val="InstructionsText"/>
              <w:rPr>
                <w:rStyle w:val="InstructionsTabelleText"/>
              </w:rPr>
            </w:pPr>
            <w:r>
              <w:t xml:space="preserve">I denne celle indberettes det faktiske beløb for den kontracykliske kapitalbuffer.</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0440</w:t>
            </w:r>
          </w:p>
        </w:tc>
        <w:tc>
          <w:tcPr>
            <w:tcW w:w="8640" w:type="dxa"/>
          </w:tcPr>
          <w:p w14:paraId="3C0108F5"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BEVARINGSBUFFER SOM FØLGE AF MAKROPRUDENTIEL ELLER SYSTEMISK RISIKO IDENTIFICERET PÅ MEDLEMSSTATSNIVEAU</w:t>
            </w:r>
          </w:p>
          <w:p w14:paraId="0EC165D1" w14:textId="77777777" w:rsidR="00173F08" w:rsidRPr="002A677E" w:rsidRDefault="00173F08" w:rsidP="00822842">
            <w:pPr>
              <w:rPr>
                <w:rStyle w:val="InstructionsTabelleberschrift"/>
                <w:b w:val="0"/>
                <w:sz w:val="24"/>
                <w:rFonts w:ascii="Times New Roman" w:hAnsi="Times New Roman"/>
              </w:rPr>
            </w:pPr>
            <w:r>
              <w:rPr>
                <w:sz w:val="24"/>
                <w:rStyle w:val="InstructionsTabelleberschrift"/>
                <w:rFonts w:ascii="Times New Roman" w:hAnsi="Times New Roman"/>
              </w:rPr>
              <w:t xml:space="preserve">Artikel 458, stk. 2, litra d), nr. iv),</w:t>
            </w:r>
            <w:r>
              <w:rPr>
                <w:sz w:val="24"/>
                <w:rFonts w:ascii="Times New Roman" w:hAnsi="Times New Roman"/>
              </w:rPr>
              <w:t xml:space="preserve"> i forordning (EU) nr. 575/2013</w:t>
            </w:r>
          </w:p>
          <w:p w14:paraId="2C6BA8FE" w14:textId="77777777" w:rsidR="00173F08" w:rsidRPr="002A677E" w:rsidRDefault="00173F08" w:rsidP="00822842">
            <w:pPr>
              <w:pStyle w:val="InstructionsText"/>
              <w:rPr>
                <w:rStyle w:val="InstructionsTabelleberschrift"/>
              </w:rPr>
            </w:pPr>
            <w:r>
              <w:t xml:space="preserve">I denne celle indberettes det beløb for bevaringsbufferen som følge af makroprudentiel eller systemisk risiko identificeret på medlemsstatsniveau, der ud over kapitalbevaringsbufferen kan kræves i henhold til artikel 458 i forordning (EU) nr. 575/2013.</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0450</w:t>
            </w:r>
          </w:p>
        </w:tc>
        <w:tc>
          <w:tcPr>
            <w:tcW w:w="8640" w:type="dxa"/>
          </w:tcPr>
          <w:p w14:paraId="37512F51" w14:textId="77777777" w:rsidR="00173F08" w:rsidRPr="002A677E" w:rsidRDefault="00173F08" w:rsidP="00822842">
            <w:pPr>
              <w:rPr>
                <w:rStyle w:val="InstructionsTabelleberschrift"/>
                <w:sz w:val="24"/>
                <w:rFonts w:ascii="Times New Roman" w:hAnsi="Times New Roman"/>
              </w:rPr>
            </w:pPr>
            <w:r>
              <w:rPr>
                <w:rStyle w:val="InstructionsTabelleberschrift"/>
                <w:sz w:val="24"/>
                <w:rFonts w:ascii="Times New Roman" w:hAnsi="Times New Roman"/>
              </w:rPr>
              <w:t xml:space="preserve">SYSTEMISK RISIKOBUFFER</w:t>
            </w:r>
          </w:p>
          <w:p w14:paraId="409112BD" w14:textId="77777777" w:rsidR="00173F08" w:rsidRPr="002A677E" w:rsidRDefault="00173F08" w:rsidP="00822842">
            <w:pPr>
              <w:pStyle w:val="InstructionsText"/>
            </w:pPr>
            <w:r>
              <w:t xml:space="preserve">Artikel 128, nr. 5), artikel 133 og 134 i direktiv 2013/36/EU</w:t>
            </w:r>
            <w:r>
              <w:t xml:space="preserve"> </w:t>
            </w:r>
          </w:p>
          <w:p w14:paraId="1888AE1C" w14:textId="77777777" w:rsidR="00173F08" w:rsidRPr="001235ED" w:rsidRDefault="00173F08" w:rsidP="00822842">
            <w:pPr>
              <w:rPr>
                <w:rStyle w:val="InstructionsTabelleberschrift"/>
                <w:sz w:val="24"/>
                <w:rFonts w:ascii="Times New Roman" w:hAnsi="Times New Roman"/>
              </w:rPr>
            </w:pPr>
            <w:r>
              <w:rPr>
                <w:sz w:val="24"/>
                <w:rFonts w:ascii="Times New Roman" w:hAnsi="Times New Roman"/>
              </w:rPr>
              <w:t xml:space="preserve">I denne celle indberettes værdien for den systemiske risikobuffer.</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0470</w:t>
            </w:r>
          </w:p>
        </w:tc>
        <w:tc>
          <w:tcPr>
            <w:tcW w:w="8640" w:type="dxa"/>
          </w:tcPr>
          <w:p w14:paraId="1989B565" w14:textId="77777777" w:rsidR="00173F08" w:rsidRPr="002A677E" w:rsidRDefault="00173F08" w:rsidP="00822842">
            <w:pPr>
              <w:tabs>
                <w:tab w:val="left" w:pos="6660"/>
              </w:tabs>
              <w:rPr>
                <w:rStyle w:val="InstructionsTabelleberschrift"/>
                <w:sz w:val="24"/>
                <w:rFonts w:ascii="Times New Roman" w:hAnsi="Times New Roman"/>
              </w:rPr>
            </w:pPr>
            <w:r>
              <w:rPr>
                <w:rStyle w:val="InstructionsTabelleberschrift"/>
                <w:sz w:val="24"/>
                <w:rFonts w:ascii="Times New Roman" w:hAnsi="Times New Roman"/>
              </w:rPr>
              <w:t xml:space="preserve">BUFFER FOR GLOBALE SYSTEMISK VIGTIGE INSTITUTTER</w:t>
            </w:r>
            <w:r>
              <w:tab/>
            </w:r>
          </w:p>
          <w:p w14:paraId="530093DF" w14:textId="77777777" w:rsidR="00173F08" w:rsidRPr="002A677E" w:rsidRDefault="00173F08" w:rsidP="00822842">
            <w:pPr>
              <w:pStyle w:val="InstructionsText"/>
              <w:rPr>
                <w:rStyle w:val="InstructionsTabelleberschrift"/>
                <w:b w:val="0"/>
              </w:rPr>
            </w:pPr>
            <w:r>
              <w:rPr>
                <w:rStyle w:val="InstructionsTabelleberschrift"/>
              </w:rPr>
              <w:t xml:space="preserve">Artikel 128, stk. 3, og artikel 131</w:t>
            </w:r>
            <w:r>
              <w:t xml:space="preserve"> i direktiv 2013/36/EU</w:t>
            </w:r>
          </w:p>
          <w:p w14:paraId="5835A3FB" w14:textId="77777777" w:rsidR="00173F08" w:rsidRPr="002A677E" w:rsidRDefault="00173F08" w:rsidP="00822842">
            <w:pPr>
              <w:pStyle w:val="InstructionsText"/>
              <w:rPr>
                <w:rStyle w:val="InstructionsTabelleberschrift"/>
              </w:rPr>
            </w:pPr>
            <w:r>
              <w:t xml:space="preserve">I denne celle indberettes værdien af bufferen for globale systemisk vigtige institutter.</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sz w:val="24"/>
                <w:rFonts w:ascii="Times New Roman" w:hAnsi="Times New Roman"/>
              </w:rPr>
            </w:pPr>
            <w:r>
              <w:rPr>
                <w:rStyle w:val="InstructionsTabelleText"/>
                <w:sz w:val="24"/>
                <w:rFonts w:ascii="Times New Roman" w:hAnsi="Times New Roman"/>
              </w:rPr>
              <w:t xml:space="preserve">0480</w:t>
            </w:r>
          </w:p>
        </w:tc>
        <w:tc>
          <w:tcPr>
            <w:tcW w:w="8640" w:type="dxa"/>
          </w:tcPr>
          <w:p w14:paraId="7FDD0190" w14:textId="77777777" w:rsidR="00173F08" w:rsidRPr="002A677E" w:rsidRDefault="00173F08" w:rsidP="00822842">
            <w:pPr>
              <w:tabs>
                <w:tab w:val="left" w:pos="6315"/>
              </w:tabs>
              <w:rPr>
                <w:rStyle w:val="InstructionsTabelleberschrift"/>
                <w:sz w:val="24"/>
                <w:rFonts w:ascii="Times New Roman" w:hAnsi="Times New Roman"/>
              </w:rPr>
            </w:pPr>
            <w:r>
              <w:rPr>
                <w:rStyle w:val="InstructionsTabelleberschrift"/>
                <w:sz w:val="24"/>
                <w:rFonts w:ascii="Times New Roman" w:hAnsi="Times New Roman"/>
              </w:rPr>
              <w:t xml:space="preserve">BUFFER FOR ANDRE SYSTEMISK VIGTIGE INSTITUTTER</w:t>
            </w:r>
            <w:r>
              <w:tab/>
            </w:r>
          </w:p>
          <w:p w14:paraId="5C91FC01" w14:textId="77777777" w:rsidR="00173F08" w:rsidRPr="002A677E" w:rsidRDefault="00173F08" w:rsidP="00822842">
            <w:pPr>
              <w:pStyle w:val="InstructionsText"/>
            </w:pPr>
            <w:r>
              <w:t xml:space="preserve">Artikel 128, stk. 4, og artikel 131 i direktiv 2013/36/EU</w:t>
            </w:r>
          </w:p>
          <w:p w14:paraId="677D9498" w14:textId="77777777" w:rsidR="00173F08" w:rsidRPr="002A677E" w:rsidRDefault="00173F08" w:rsidP="00822842">
            <w:pPr>
              <w:pStyle w:val="InstructionsText"/>
              <w:rPr>
                <w:rStyle w:val="InstructionsTabelleberschrift"/>
              </w:rPr>
            </w:pPr>
            <w:r>
              <w:t xml:space="preserve">I denne celle indberettes værdien af bufferen for andre systemisk vigtige institutter.</w:t>
            </w:r>
          </w:p>
        </w:tc>
      </w:tr>
    </w:tbl>
    <w:p w14:paraId="25845975" w14:textId="77777777" w:rsidR="00173F08" w:rsidRPr="002A677E" w:rsidRDefault="00173F08" w:rsidP="00173F08">
      <w:pPr>
        <w:pStyle w:val="InstructionsText"/>
      </w:pPr>
    </w:p>
    <w:p w14:paraId="1EA0AB00" w14:textId="77777777" w:rsidR="00BF2D9E" w:rsidRDefault="00BF2D9E"/>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dirty"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601EA3"/>
    <w:rsid w:val="00631623"/>
    <w:rsid w:val="00694862"/>
    <w:rsid w:val="00702B2E"/>
    <w:rsid w:val="00780E9B"/>
    <w:rsid w:val="009871DF"/>
    <w:rsid w:val="00A6002C"/>
    <w:rsid w:val="00A70706"/>
    <w:rsid w:val="00B44A0E"/>
    <w:rsid w:val="00B71F25"/>
    <w:rsid w:val="00BF2D9E"/>
    <w:rsid w:val="00C61CB8"/>
    <w:rsid w:val="00E26A90"/>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val="da-DK"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1AA2C5-6A5D-4215-BEA2-CD721380D19B}"/>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3D1A1E76-5781-4102-A68F-1ECF8D7CB282}">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3970</Words>
  <Characters>22635</Characters>
  <Application>Microsoft Office Word</Application>
  <DocSecurity>0</DocSecurity>
  <Lines>188</Lines>
  <Paragraphs>53</Paragraphs>
  <ScaleCrop>false</ScaleCrop>
  <Company/>
  <LinksUpToDate>false</LinksUpToDate>
  <CharactersWithSpaces>26552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2024-07-05T07:53:00Z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